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wordWrap/>
        <w:adjustRightInd/>
        <w:snapToGrid/>
        <w:spacing w:line="600" w:lineRule="exact"/>
        <w:ind w:left="0" w:leftChars="0" w:right="0"/>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color w:val="000000"/>
          <w:sz w:val="32"/>
          <w:szCs w:val="32"/>
        </w:rPr>
        <w:t>附件1</w:t>
      </w:r>
    </w:p>
    <w:p>
      <w:pPr>
        <w:widowControl/>
        <w:wordWrap/>
        <w:adjustRightInd/>
        <w:snapToGrid/>
        <w:spacing w:line="600" w:lineRule="exact"/>
        <w:ind w:left="0" w:leftChars="0" w:right="0"/>
        <w:jc w:val="center"/>
        <w:textAlignment w:val="baseline"/>
        <w:outlineLvl w:val="9"/>
        <w:rPr>
          <w:rStyle w:val="7"/>
          <w:rFonts w:ascii="方正小标宋简体" w:hAnsi="方正小标宋简体" w:eastAsia="方正小标宋简体" w:cs="方正小标宋简体"/>
          <w:b/>
          <w:bCs/>
          <w:color w:val="000000"/>
          <w:sz w:val="36"/>
          <w:szCs w:val="36"/>
        </w:rPr>
      </w:pPr>
      <w:r>
        <w:rPr>
          <w:rStyle w:val="7"/>
          <w:rFonts w:ascii="方正小标宋简体" w:hAnsi="方正小标宋简体" w:eastAsia="方正小标宋简体" w:cs="方正小标宋简体"/>
          <w:b/>
          <w:bCs/>
          <w:color w:val="000000"/>
          <w:sz w:val="36"/>
          <w:szCs w:val="36"/>
        </w:rPr>
        <w:t>“高层次公共卫生技术人才建设项目”</w:t>
      </w:r>
    </w:p>
    <w:p>
      <w:pPr>
        <w:widowControl/>
        <w:wordWrap/>
        <w:adjustRightInd/>
        <w:snapToGrid/>
        <w:spacing w:line="600" w:lineRule="exact"/>
        <w:ind w:left="0" w:leftChars="0" w:right="0"/>
        <w:jc w:val="center"/>
        <w:textAlignment w:val="baseline"/>
        <w:outlineLvl w:val="9"/>
        <w:rPr>
          <w:rStyle w:val="7"/>
          <w:rFonts w:ascii="方正小标宋简体" w:hAnsi="方正小标宋简体" w:eastAsia="方正小标宋简体" w:cs="方正小标宋简体"/>
          <w:b/>
          <w:bCs/>
          <w:color w:val="000000"/>
          <w:sz w:val="36"/>
          <w:szCs w:val="36"/>
        </w:rPr>
      </w:pPr>
      <w:r>
        <w:rPr>
          <w:rStyle w:val="7"/>
          <w:rFonts w:ascii="方正小标宋简体" w:hAnsi="方正小标宋简体" w:eastAsia="方正小标宋简体" w:cs="方正小标宋简体"/>
          <w:b/>
          <w:bCs/>
          <w:color w:val="000000"/>
          <w:sz w:val="36"/>
          <w:szCs w:val="36"/>
        </w:rPr>
        <w:t>遴选单元（学科分类）方案</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olor w:val="000000"/>
          <w:sz w:val="32"/>
          <w:szCs w:val="32"/>
        </w:rPr>
      </w:pP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olor w:val="000000"/>
          <w:sz w:val="32"/>
          <w:szCs w:val="32"/>
        </w:rPr>
      </w:pPr>
      <w:r>
        <w:rPr>
          <w:rStyle w:val="7"/>
          <w:rFonts w:hint="eastAsia" w:ascii="仿宋_GB2312" w:hAnsi="仿宋_GB2312" w:eastAsia="仿宋_GB2312"/>
          <w:color w:val="000000"/>
          <w:sz w:val="32"/>
          <w:szCs w:val="32"/>
        </w:rPr>
        <w:t>为科学精准地实施</w:t>
      </w:r>
      <w:r>
        <w:rPr>
          <w:rStyle w:val="7"/>
          <w:rFonts w:ascii="仿宋_GB2312" w:hAnsi="仿宋_GB2312" w:eastAsia="仿宋_GB2312"/>
          <w:color w:val="000000"/>
          <w:sz w:val="32"/>
          <w:szCs w:val="32"/>
        </w:rPr>
        <w:t>“高层次公共卫生技术人才建设项目”</w:t>
      </w:r>
      <w:r>
        <w:rPr>
          <w:rStyle w:val="7"/>
          <w:rFonts w:hint="eastAsia" w:ascii="仿宋_GB2312" w:hAnsi="仿宋_GB2312" w:eastAsia="仿宋_GB2312"/>
          <w:color w:val="000000"/>
          <w:sz w:val="32"/>
          <w:szCs w:val="32"/>
        </w:rPr>
        <w:t>，在调研论证的基础上，制定本</w:t>
      </w:r>
      <w:r>
        <w:rPr>
          <w:rStyle w:val="7"/>
          <w:rFonts w:ascii="仿宋_GB2312" w:hAnsi="仿宋_GB2312" w:eastAsia="仿宋_GB2312"/>
          <w:color w:val="000000"/>
          <w:sz w:val="32"/>
          <w:szCs w:val="32"/>
        </w:rPr>
        <w:t>方案</w:t>
      </w:r>
      <w:r>
        <w:rPr>
          <w:rStyle w:val="7"/>
          <w:rFonts w:hint="eastAsia" w:ascii="仿宋_GB2312" w:hAnsi="仿宋_GB2312" w:eastAsia="仿宋_GB2312"/>
          <w:color w:val="000000"/>
          <w:sz w:val="32"/>
          <w:szCs w:val="32"/>
        </w:rPr>
        <w:t>。</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olor w:val="000000"/>
          <w:sz w:val="32"/>
          <w:szCs w:val="32"/>
        </w:rPr>
      </w:pPr>
      <w:r>
        <w:rPr>
          <w:rStyle w:val="7"/>
          <w:rFonts w:hint="eastAsia" w:ascii="仿宋_GB2312" w:hAnsi="仿宋_GB2312" w:eastAsia="仿宋_GB2312"/>
          <w:color w:val="000000"/>
          <w:sz w:val="32"/>
          <w:szCs w:val="32"/>
        </w:rPr>
        <w:t>本方案分“</w:t>
      </w:r>
      <w:r>
        <w:rPr>
          <w:rStyle w:val="7"/>
          <w:rFonts w:ascii="仿宋_GB2312" w:hAnsi="仿宋_GB2312" w:eastAsia="仿宋_GB2312"/>
          <w:color w:val="000000"/>
          <w:sz w:val="32"/>
          <w:szCs w:val="32"/>
        </w:rPr>
        <w:t>急需紧缺</w:t>
      </w:r>
      <w:r>
        <w:rPr>
          <w:rStyle w:val="7"/>
          <w:rFonts w:hint="eastAsia" w:ascii="仿宋_GB2312" w:hAnsi="仿宋_GB2312" w:eastAsia="仿宋_GB2312"/>
          <w:color w:val="000000"/>
          <w:sz w:val="32"/>
          <w:szCs w:val="32"/>
          <w:lang w:val="en-US" w:eastAsia="zh-CN"/>
        </w:rPr>
        <w:t>遴选单元</w:t>
      </w:r>
      <w:r>
        <w:rPr>
          <w:rStyle w:val="7"/>
          <w:rFonts w:hint="eastAsia" w:ascii="仿宋_GB2312" w:hAnsi="仿宋_GB2312" w:eastAsia="仿宋_GB2312"/>
          <w:color w:val="000000"/>
          <w:sz w:val="32"/>
          <w:szCs w:val="32"/>
        </w:rPr>
        <w:t>”和“</w:t>
      </w:r>
      <w:r>
        <w:rPr>
          <w:rStyle w:val="7"/>
          <w:rFonts w:ascii="仿宋_GB2312" w:hAnsi="仿宋_GB2312" w:eastAsia="仿宋_GB2312"/>
          <w:color w:val="000000"/>
          <w:sz w:val="32"/>
          <w:szCs w:val="32"/>
        </w:rPr>
        <w:t>急需紧缺</w:t>
      </w:r>
      <w:r>
        <w:rPr>
          <w:rStyle w:val="7"/>
          <w:rFonts w:hint="eastAsia" w:ascii="仿宋_GB2312" w:hAnsi="仿宋_GB2312" w:eastAsia="仿宋_GB2312"/>
          <w:color w:val="000000"/>
          <w:sz w:val="32"/>
          <w:szCs w:val="32"/>
          <w:lang w:val="en-US" w:eastAsia="zh-CN"/>
        </w:rPr>
        <w:t>遴选单元</w:t>
      </w:r>
      <w:r>
        <w:rPr>
          <w:rStyle w:val="7"/>
          <w:rFonts w:hint="eastAsia" w:ascii="仿宋_GB2312" w:hAnsi="仿宋_GB2312" w:eastAsia="仿宋_GB2312"/>
          <w:color w:val="000000"/>
          <w:sz w:val="32"/>
          <w:szCs w:val="32"/>
        </w:rPr>
        <w:t>”</w:t>
      </w:r>
      <w:r>
        <w:rPr>
          <w:rStyle w:val="7"/>
          <w:rFonts w:hint="eastAsia" w:ascii="仿宋_GB2312" w:hAnsi="仿宋_GB2312" w:eastAsia="仿宋_GB2312"/>
          <w:color w:val="000000"/>
          <w:sz w:val="32"/>
          <w:szCs w:val="32"/>
          <w:lang w:val="en-US" w:eastAsia="zh-CN"/>
        </w:rPr>
        <w:t>递补</w:t>
      </w:r>
      <w:r>
        <w:rPr>
          <w:rStyle w:val="7"/>
          <w:rFonts w:hint="eastAsia" w:ascii="仿宋_GB2312" w:hAnsi="仿宋_GB2312" w:eastAsia="仿宋_GB2312"/>
          <w:color w:val="000000"/>
          <w:sz w:val="32"/>
          <w:szCs w:val="32"/>
        </w:rPr>
        <w:t>两</w:t>
      </w:r>
      <w:r>
        <w:rPr>
          <w:rStyle w:val="7"/>
          <w:rFonts w:ascii="仿宋_GB2312" w:hAnsi="仿宋_GB2312" w:eastAsia="仿宋_GB2312"/>
          <w:color w:val="000000"/>
          <w:sz w:val="32"/>
          <w:szCs w:val="32"/>
        </w:rPr>
        <w:t>部分</w:t>
      </w:r>
      <w:r>
        <w:rPr>
          <w:rStyle w:val="7"/>
          <w:rFonts w:hint="eastAsia" w:ascii="仿宋_GB2312" w:hAnsi="仿宋_GB2312" w:eastAsia="仿宋_GB2312"/>
          <w:color w:val="000000"/>
          <w:sz w:val="32"/>
          <w:szCs w:val="32"/>
        </w:rPr>
        <w:t>，</w:t>
      </w:r>
      <w:r>
        <w:rPr>
          <w:rStyle w:val="7"/>
          <w:rFonts w:ascii="仿宋_GB2312" w:hAnsi="仿宋_GB2312" w:eastAsia="仿宋_GB2312"/>
          <w:color w:val="000000"/>
          <w:sz w:val="32"/>
          <w:szCs w:val="32"/>
        </w:rPr>
        <w:t>共</w:t>
      </w:r>
      <w:r>
        <w:rPr>
          <w:rStyle w:val="7"/>
          <w:rFonts w:hint="eastAsia" w:ascii="仿宋_GB2312" w:hAnsi="仿宋_GB2312" w:eastAsia="仿宋_GB2312"/>
          <w:color w:val="000000"/>
          <w:sz w:val="32"/>
          <w:szCs w:val="32"/>
        </w:rPr>
        <w:t>15大类</w:t>
      </w:r>
      <w:r>
        <w:rPr>
          <w:rStyle w:val="7"/>
          <w:rFonts w:hint="eastAsia" w:ascii="仿宋_GB2312" w:hAnsi="仿宋_GB2312" w:eastAsia="仿宋_GB2312"/>
          <w:color w:val="000000"/>
          <w:sz w:val="32"/>
          <w:szCs w:val="32"/>
          <w:lang w:eastAsia="zh-CN"/>
        </w:rPr>
        <w:t>，</w:t>
      </w:r>
      <w:r>
        <w:rPr>
          <w:rStyle w:val="7"/>
          <w:rFonts w:hint="eastAsia" w:ascii="仿宋_GB2312" w:hAnsi="仿宋_GB2312" w:eastAsia="仿宋_GB2312"/>
          <w:color w:val="000000"/>
          <w:sz w:val="32"/>
          <w:szCs w:val="32"/>
          <w:lang w:val="en-US" w:eastAsia="zh-CN"/>
        </w:rPr>
        <w:t>每个大类为一个遴选单元。每个遴选单元对应若干应用专业，以“培养目标”和“任务描述”说明本单元需要遴选培养的人才</w:t>
      </w:r>
      <w:r>
        <w:rPr>
          <w:rStyle w:val="7"/>
          <w:rFonts w:ascii="仿宋_GB2312" w:hAnsi="仿宋_GB2312" w:eastAsia="仿宋_GB2312"/>
          <w:color w:val="000000"/>
          <w:sz w:val="32"/>
          <w:szCs w:val="32"/>
        </w:rPr>
        <w:t>。</w:t>
      </w:r>
    </w:p>
    <w:p>
      <w:pPr>
        <w:widowControl/>
        <w:numPr>
          <w:ilvl w:val="0"/>
          <w:numId w:val="1"/>
        </w:numPr>
        <w:wordWrap/>
        <w:adjustRightInd/>
        <w:snapToGrid/>
        <w:spacing w:line="600" w:lineRule="exact"/>
        <w:ind w:left="0" w:leftChars="0" w:right="0" w:firstLine="640" w:firstLineChars="200"/>
        <w:jc w:val="both"/>
        <w:textAlignment w:val="baseline"/>
        <w:outlineLvl w:val="9"/>
        <w:rPr>
          <w:rStyle w:val="7"/>
          <w:rFonts w:ascii="黑体" w:hAnsi="黑体" w:eastAsia="黑体"/>
          <w:color w:val="000000"/>
          <w:sz w:val="32"/>
          <w:szCs w:val="32"/>
        </w:rPr>
      </w:pPr>
      <w:r>
        <w:rPr>
          <w:rStyle w:val="7"/>
          <w:rFonts w:ascii="黑体" w:hAnsi="黑体" w:eastAsia="黑体"/>
          <w:color w:val="000000"/>
          <w:sz w:val="32"/>
          <w:szCs w:val="32"/>
        </w:rPr>
        <w:t>急需紧缺</w:t>
      </w:r>
      <w:r>
        <w:rPr>
          <w:rStyle w:val="7"/>
          <w:rFonts w:hint="eastAsia" w:ascii="黑体" w:hAnsi="黑体" w:eastAsia="黑体"/>
          <w:color w:val="000000"/>
          <w:sz w:val="32"/>
          <w:szCs w:val="32"/>
          <w:lang w:val="en-US" w:eastAsia="zh-CN"/>
        </w:rPr>
        <w:t>遴选单元</w:t>
      </w:r>
      <w:r>
        <w:rPr>
          <w:rStyle w:val="7"/>
          <w:rFonts w:hint="eastAsia" w:ascii="黑体" w:hAnsi="黑体" w:eastAsia="黑体"/>
          <w:color w:val="000000"/>
          <w:sz w:val="32"/>
          <w:szCs w:val="32"/>
        </w:rPr>
        <w:t>（10个）</w:t>
      </w:r>
    </w:p>
    <w:p>
      <w:pPr>
        <w:widowControl/>
        <w:wordWrap/>
        <w:adjustRightInd/>
        <w:snapToGrid/>
        <w:spacing w:line="600" w:lineRule="exact"/>
        <w:ind w:left="0" w:leftChars="0" w:right="0"/>
        <w:jc w:val="both"/>
        <w:textAlignment w:val="baseline"/>
        <w:outlineLvl w:val="9"/>
        <w:rPr>
          <w:rStyle w:val="7"/>
          <w:rFonts w:ascii="黑体" w:hAnsi="黑体" w:eastAsia="黑体"/>
          <w:color w:val="000000"/>
          <w:sz w:val="32"/>
          <w:szCs w:val="32"/>
        </w:rPr>
      </w:pPr>
      <w:r>
        <w:rPr>
          <w:rStyle w:val="7"/>
          <w:rFonts w:hint="eastAsia" w:ascii="黑体" w:hAnsi="黑体" w:eastAsia="黑体"/>
          <w:color w:val="000000"/>
          <w:sz w:val="32"/>
          <w:szCs w:val="32"/>
        </w:rPr>
        <w:t xml:space="preserve">   </w:t>
      </w:r>
      <w:r>
        <w:rPr>
          <w:rStyle w:val="7"/>
          <w:rFonts w:hint="eastAsia" w:ascii="仿宋_GB2312" w:hAnsi="仿宋_GB2312" w:eastAsia="仿宋_GB2312" w:cs="仿宋_GB2312"/>
          <w:color w:val="000000"/>
          <w:sz w:val="32"/>
          <w:szCs w:val="32"/>
        </w:rPr>
        <w:t xml:space="preserve"> 按急需紧缺程度排序。</w:t>
      </w:r>
    </w:p>
    <w:p>
      <w:pPr>
        <w:widowControl/>
        <w:numPr>
          <w:ilvl w:val="0"/>
          <w:numId w:val="2"/>
        </w:numPr>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b/>
          <w:bCs/>
          <w:color w:val="000000"/>
          <w:sz w:val="32"/>
          <w:szCs w:val="32"/>
        </w:rPr>
      </w:pPr>
      <w:r>
        <w:rPr>
          <w:rStyle w:val="7"/>
          <w:rFonts w:hint="eastAsia" w:ascii="仿宋_GB2312" w:hAnsi="仿宋_GB2312" w:eastAsia="仿宋_GB2312" w:cs="仿宋_GB2312"/>
          <w:b/>
          <w:bCs/>
          <w:color w:val="000000"/>
          <w:sz w:val="32"/>
          <w:szCs w:val="32"/>
        </w:rPr>
        <w:t>突发公共卫生事件</w:t>
      </w:r>
      <w:r>
        <w:rPr>
          <w:rStyle w:val="7"/>
          <w:rFonts w:ascii="仿宋_GB2312" w:hAnsi="仿宋_GB2312" w:eastAsia="仿宋_GB2312" w:cs="仿宋_GB2312"/>
          <w:b/>
          <w:bCs/>
          <w:color w:val="000000"/>
          <w:sz w:val="32"/>
          <w:szCs w:val="32"/>
        </w:rPr>
        <w:t>卫生应急</w:t>
      </w:r>
      <w:r>
        <w:rPr>
          <w:rStyle w:val="7"/>
          <w:rFonts w:hint="eastAsia" w:ascii="仿宋_GB2312" w:hAnsi="仿宋_GB2312" w:eastAsia="仿宋_GB2312" w:cs="仿宋_GB2312"/>
          <w:b/>
          <w:bCs/>
          <w:color w:val="000000"/>
          <w:sz w:val="32"/>
          <w:szCs w:val="32"/>
        </w:rPr>
        <w:t xml:space="preserve">方向 </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olor w:val="000000"/>
          <w:sz w:val="32"/>
          <w:szCs w:val="32"/>
        </w:rPr>
      </w:pPr>
      <w:r>
        <w:rPr>
          <w:rStyle w:val="7"/>
          <w:rFonts w:hint="eastAsia" w:ascii="仿宋_GB2312" w:hAnsi="仿宋_GB2312" w:eastAsia="仿宋_GB2312"/>
          <w:b/>
          <w:bCs/>
          <w:color w:val="000000"/>
          <w:sz w:val="32"/>
          <w:szCs w:val="32"/>
        </w:rPr>
        <w:t>培养目标</w:t>
      </w:r>
      <w:r>
        <w:rPr>
          <w:rStyle w:val="7"/>
          <w:rFonts w:ascii="仿宋_GB2312" w:hAnsi="仿宋_GB2312" w:eastAsia="仿宋_GB2312"/>
          <w:b/>
          <w:bCs/>
          <w:color w:val="000000"/>
          <w:sz w:val="32"/>
          <w:szCs w:val="32"/>
        </w:rPr>
        <w:t>：</w:t>
      </w:r>
      <w:r>
        <w:rPr>
          <w:rStyle w:val="7"/>
          <w:rFonts w:hint="eastAsia" w:ascii="仿宋_GB2312" w:hAnsi="仿宋_GB2312" w:eastAsia="仿宋_GB2312"/>
          <w:color w:val="000000"/>
          <w:sz w:val="32"/>
          <w:szCs w:val="32"/>
        </w:rPr>
        <w:t>复合型的管理型人才。常态工作模式下，应能够有效管理本级突发公共事件卫生应急的有关资源信息；应急状态下，具有快速获取和处理相关信息，果断决策的能力，能够有效地组织协调相关部门，合理利用相应资源，科学处理应急状态下的相关工作，并且能够合理地与公众沟通，全面考虑应急处理工作和善后安排。</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任务描述：</w:t>
      </w:r>
      <w:r>
        <w:rPr>
          <w:rStyle w:val="7"/>
          <w:rFonts w:hint="eastAsia" w:ascii="仿宋_GB2312" w:hAnsi="仿宋_GB2312" w:eastAsia="仿宋_GB2312" w:cs="仿宋_GB2312"/>
          <w:color w:val="000000"/>
          <w:sz w:val="32"/>
          <w:szCs w:val="32"/>
        </w:rPr>
        <w:t>制定公共卫生事件应急处置预案，对突发公共卫生事件的监测预警、情报分析，进行现场应急处置、物资保障、综合协调、综合决策和指挥调度。</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应用专业：</w:t>
      </w:r>
      <w:r>
        <w:rPr>
          <w:rStyle w:val="7"/>
          <w:rFonts w:hint="eastAsia" w:ascii="仿宋_GB2312" w:hAnsi="仿宋_GB2312" w:eastAsia="仿宋_GB2312" w:cs="仿宋_GB2312"/>
          <w:color w:val="000000"/>
          <w:sz w:val="32"/>
          <w:szCs w:val="32"/>
        </w:rPr>
        <w:t>卫生应急管理、卫生事业管理</w:t>
      </w:r>
      <w:r>
        <w:rPr>
          <w:rStyle w:val="7"/>
          <w:rFonts w:hint="eastAsia" w:ascii="仿宋_GB2312" w:hAnsi="仿宋_GB2312" w:eastAsia="仿宋_GB2312" w:cs="仿宋_GB2312"/>
          <w:color w:val="000000"/>
          <w:sz w:val="32"/>
          <w:szCs w:val="32"/>
          <w:lang w:eastAsia="zh-CN"/>
        </w:rPr>
        <w:t>、</w:t>
      </w:r>
      <w:r>
        <w:rPr>
          <w:rStyle w:val="7"/>
          <w:rFonts w:hint="eastAsia" w:ascii="仿宋_GB2312" w:hAnsi="仿宋_GB2312" w:eastAsia="仿宋_GB2312" w:cs="仿宋_GB2312"/>
          <w:color w:val="000000"/>
          <w:sz w:val="32"/>
          <w:szCs w:val="32"/>
        </w:rPr>
        <w:t>社会医学、公共危机管理、卫生法学。</w:t>
      </w:r>
    </w:p>
    <w:p>
      <w:pPr>
        <w:widowControl/>
        <w:numPr>
          <w:ilvl w:val="0"/>
          <w:numId w:val="3"/>
        </w:numPr>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b/>
          <w:bCs/>
          <w:color w:val="000000"/>
          <w:sz w:val="32"/>
          <w:szCs w:val="32"/>
        </w:rPr>
      </w:pPr>
      <w:r>
        <w:rPr>
          <w:rStyle w:val="7"/>
          <w:rFonts w:hint="eastAsia" w:ascii="仿宋_GB2312" w:hAnsi="仿宋_GB2312" w:eastAsia="仿宋_GB2312" w:cs="仿宋_GB2312"/>
          <w:b/>
          <w:bCs/>
          <w:color w:val="000000"/>
          <w:sz w:val="32"/>
          <w:szCs w:val="32"/>
        </w:rPr>
        <w:t>现场流行病学流调溯源和疫情研判</w:t>
      </w:r>
      <w:r>
        <w:rPr>
          <w:rStyle w:val="7"/>
          <w:rFonts w:hint="eastAsia" w:ascii="仿宋_GB2312" w:hAnsi="仿宋_GB2312" w:eastAsia="仿宋_GB2312" w:cs="仿宋_GB2312"/>
          <w:b/>
          <w:bCs/>
          <w:color w:val="000000"/>
          <w:sz w:val="32"/>
          <w:szCs w:val="32"/>
          <w:lang w:val="en-US" w:eastAsia="zh-CN"/>
        </w:rPr>
        <w:t>方向</w:t>
      </w:r>
      <w:r>
        <w:rPr>
          <w:rStyle w:val="7"/>
          <w:rFonts w:hint="eastAsia" w:ascii="仿宋_GB2312" w:hAnsi="仿宋_GB2312" w:eastAsia="仿宋_GB2312" w:cs="仿宋_GB2312"/>
          <w:b/>
          <w:bCs/>
          <w:color w:val="000000"/>
          <w:sz w:val="32"/>
          <w:szCs w:val="32"/>
        </w:rPr>
        <w:t xml:space="preserve">   </w:t>
      </w:r>
    </w:p>
    <w:p>
      <w:pPr>
        <w:widowControl/>
        <w:wordWrap/>
        <w:adjustRightInd/>
        <w:snapToGrid/>
        <w:spacing w:line="600" w:lineRule="exact"/>
        <w:ind w:left="0" w:leftChars="0" w:right="0" w:firstLine="640" w:firstLineChars="200"/>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培养目标：</w:t>
      </w:r>
      <w:r>
        <w:rPr>
          <w:rStyle w:val="7"/>
          <w:rFonts w:hint="eastAsia" w:ascii="仿宋_GB2312" w:hAnsi="仿宋_GB2312" w:eastAsia="仿宋_GB2312" w:cs="仿宋_GB2312"/>
          <w:color w:val="000000"/>
          <w:sz w:val="32"/>
          <w:szCs w:val="32"/>
        </w:rPr>
        <w:t>复合型的专业技术人才。熟练掌握并运用传统流行病学调查手段，同时融合分子生物学、现代信息技术、大数据分析、窗口流调、地理信息系统、公安刑侦、基因测序等先进技术和手段，能够在较短时间内完成核心信息调查，快速锁定密接人群和感染传播范围，为精准防控提供决策支持。</w:t>
      </w:r>
    </w:p>
    <w:p>
      <w:pPr>
        <w:widowControl/>
        <w:wordWrap/>
        <w:adjustRightInd/>
        <w:snapToGrid/>
        <w:spacing w:line="600" w:lineRule="exact"/>
        <w:ind w:left="0" w:leftChars="0" w:right="0" w:firstLine="640" w:firstLineChars="200"/>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任务描述：</w:t>
      </w:r>
      <w:r>
        <w:rPr>
          <w:rStyle w:val="7"/>
          <w:rFonts w:hint="eastAsia" w:ascii="仿宋_GB2312" w:hAnsi="仿宋_GB2312" w:eastAsia="仿宋_GB2312" w:cs="仿宋_GB2312"/>
          <w:color w:val="000000"/>
          <w:sz w:val="32"/>
          <w:szCs w:val="32"/>
        </w:rPr>
        <w:t>利用临床诊疗、社区动员等手段，对病例感染来源进行系统性分析，调查病例的发病和就诊情况、临床特征、危险因素和暴露史、活动史，及时发现和管理密切接触者，描述疫情的三间分布，分析疫情的流行病学特征，迅速查找控制传染源，识别风险人员，厘清传播链条，切断传播途径，消除疫情隐患。研判分析重大传染病疫情/公共卫生事件风险来源和影响范围</w:t>
      </w:r>
      <w:r>
        <w:rPr>
          <w:rStyle w:val="7"/>
          <w:rFonts w:hint="eastAsia" w:ascii="仿宋_GB2312" w:hAnsi="仿宋_GB2312" w:eastAsia="仿宋_GB2312" w:cs="仿宋_GB2312"/>
          <w:color w:val="000000"/>
          <w:sz w:val="32"/>
          <w:szCs w:val="32"/>
          <w:lang w:eastAsia="zh-CN"/>
        </w:rPr>
        <w:t>，</w:t>
      </w:r>
      <w:r>
        <w:rPr>
          <w:rStyle w:val="7"/>
          <w:rFonts w:hint="eastAsia" w:ascii="仿宋_GB2312" w:hAnsi="仿宋_GB2312" w:eastAsia="仿宋_GB2312" w:cs="仿宋_GB2312"/>
          <w:color w:val="000000"/>
          <w:sz w:val="32"/>
          <w:szCs w:val="32"/>
        </w:rPr>
        <w:t>提出专业防控建议，为政府制定防控措施提供依据。</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应用专业：</w:t>
      </w:r>
      <w:r>
        <w:rPr>
          <w:rStyle w:val="7"/>
          <w:rFonts w:hint="eastAsia" w:ascii="仿宋_GB2312" w:hAnsi="仿宋_GB2312" w:eastAsia="仿宋_GB2312" w:cs="仿宋_GB2312"/>
          <w:color w:val="000000"/>
          <w:sz w:val="32"/>
          <w:szCs w:val="32"/>
        </w:rPr>
        <w:t>流行病学、微生物学、分析化学、刑侦学、卫生法学、伦理学、地方病、卫生检验（医学检验）、分子生物学、地理信息技术、大数据分析、预防医学、统计学、检验学。</w:t>
      </w:r>
    </w:p>
    <w:p>
      <w:pPr>
        <w:widowControl/>
        <w:numPr>
          <w:ilvl w:val="0"/>
          <w:numId w:val="3"/>
        </w:numPr>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b/>
          <w:bCs/>
          <w:color w:val="000000"/>
          <w:sz w:val="32"/>
          <w:szCs w:val="32"/>
        </w:rPr>
      </w:pPr>
      <w:r>
        <w:rPr>
          <w:rStyle w:val="7"/>
          <w:rFonts w:hint="eastAsia" w:ascii="仿宋_GB2312" w:hAnsi="仿宋_GB2312" w:eastAsia="仿宋_GB2312" w:cs="仿宋_GB2312"/>
          <w:b/>
          <w:bCs/>
          <w:color w:val="000000"/>
          <w:sz w:val="32"/>
          <w:szCs w:val="32"/>
        </w:rPr>
        <w:t xml:space="preserve">院感防控方向 </w:t>
      </w:r>
    </w:p>
    <w:p>
      <w:pPr>
        <w:widowControl/>
        <w:wordWrap/>
        <w:adjustRightInd/>
        <w:snapToGrid/>
        <w:spacing w:line="600" w:lineRule="exact"/>
        <w:ind w:left="0" w:leftChars="0" w:right="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color w:val="000000"/>
          <w:sz w:val="32"/>
          <w:szCs w:val="32"/>
        </w:rPr>
        <w:t xml:space="preserve">    </w:t>
      </w:r>
      <w:r>
        <w:rPr>
          <w:rStyle w:val="7"/>
          <w:rFonts w:hint="eastAsia" w:ascii="仿宋_GB2312" w:hAnsi="仿宋_GB2312" w:eastAsia="仿宋_GB2312" w:cs="仿宋_GB2312"/>
          <w:b/>
          <w:bCs/>
          <w:color w:val="000000"/>
          <w:sz w:val="32"/>
          <w:szCs w:val="32"/>
        </w:rPr>
        <w:t>培养目标：</w:t>
      </w:r>
      <w:r>
        <w:rPr>
          <w:rStyle w:val="7"/>
          <w:rFonts w:hint="eastAsia" w:ascii="仿宋_GB2312" w:hAnsi="仿宋_GB2312" w:eastAsia="仿宋_GB2312" w:cs="仿宋_GB2312"/>
          <w:color w:val="000000"/>
          <w:sz w:val="32"/>
          <w:szCs w:val="32"/>
        </w:rPr>
        <w:t>“临床（尤其是传染病学）+预防”的复合型专业人才。具备重大公共卫生事件应对能力，尤其是发现、报告、预警、响应能力，确保在事件发生初期，可以迅速加强医疗机构感染防控工作，包括加强预检分诊、感染相关监测，提升防控的效果。能够及时发现可能发生院内感染的薄弱环节，通过开展医防融合、信息共享、培训演练</w:t>
      </w:r>
      <w:r>
        <w:rPr>
          <w:rStyle w:val="7"/>
          <w:rFonts w:hint="eastAsia" w:ascii="仿宋_GB2312" w:hAnsi="仿宋_GB2312" w:eastAsia="仿宋_GB2312" w:cs="仿宋_GB2312"/>
          <w:color w:val="000000"/>
          <w:sz w:val="32"/>
          <w:szCs w:val="32"/>
          <w:lang w:eastAsia="zh-CN"/>
        </w:rPr>
        <w:t>，</w:t>
      </w:r>
      <w:r>
        <w:rPr>
          <w:rStyle w:val="7"/>
          <w:rFonts w:hint="eastAsia" w:ascii="仿宋_GB2312" w:hAnsi="仿宋_GB2312" w:eastAsia="仿宋_GB2312" w:cs="仿宋_GB2312"/>
          <w:color w:val="000000"/>
          <w:sz w:val="32"/>
          <w:szCs w:val="32"/>
        </w:rPr>
        <w:t>提升医院的院感防控综合能力。</w:t>
      </w:r>
    </w:p>
    <w:p>
      <w:pPr>
        <w:widowControl/>
        <w:wordWrap/>
        <w:adjustRightInd/>
        <w:snapToGrid/>
        <w:spacing w:line="600" w:lineRule="exact"/>
        <w:ind w:left="0" w:leftChars="0" w:right="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color w:val="000000"/>
          <w:sz w:val="32"/>
          <w:szCs w:val="32"/>
        </w:rPr>
        <w:t xml:space="preserve">   </w:t>
      </w:r>
      <w:r>
        <w:rPr>
          <w:rStyle w:val="7"/>
          <w:rFonts w:hint="eastAsia" w:ascii="仿宋_GB2312" w:hAnsi="仿宋_GB2312" w:eastAsia="仿宋_GB2312" w:cs="仿宋_GB2312"/>
          <w:b/>
          <w:bCs/>
          <w:color w:val="000000"/>
          <w:sz w:val="32"/>
          <w:szCs w:val="32"/>
        </w:rPr>
        <w:t xml:space="preserve"> 任务描述：</w:t>
      </w:r>
      <w:r>
        <w:rPr>
          <w:rStyle w:val="7"/>
          <w:rFonts w:hint="eastAsia" w:ascii="仿宋_GB2312" w:hAnsi="仿宋_GB2312" w:eastAsia="仿宋_GB2312" w:cs="仿宋_GB2312"/>
          <w:color w:val="000000"/>
          <w:sz w:val="32"/>
          <w:szCs w:val="32"/>
        </w:rPr>
        <w:t>隔离点、核酸采样点、疫苗接种点、疫情处置单元等特殊场所的选址、设置和验收评估，医院感染流行病学的调查</w:t>
      </w:r>
      <w:r>
        <w:rPr>
          <w:rStyle w:val="7"/>
          <w:rFonts w:hint="eastAsia" w:ascii="仿宋_GB2312" w:hAnsi="仿宋_GB2312" w:eastAsia="仿宋_GB2312" w:cs="仿宋_GB2312"/>
          <w:color w:val="000000"/>
          <w:sz w:val="32"/>
          <w:szCs w:val="32"/>
          <w:lang w:eastAsia="zh-CN"/>
        </w:rPr>
        <w:t>，</w:t>
      </w:r>
      <w:r>
        <w:rPr>
          <w:rStyle w:val="7"/>
          <w:rFonts w:hint="eastAsia" w:ascii="仿宋_GB2312" w:hAnsi="仿宋_GB2312" w:eastAsia="仿宋_GB2312" w:cs="仿宋_GB2312"/>
          <w:color w:val="000000"/>
          <w:sz w:val="32"/>
          <w:szCs w:val="32"/>
        </w:rPr>
        <w:t>制定不同场景的消毒方案和个人防护标准，开展疫点终末消毒</w:t>
      </w:r>
      <w:r>
        <w:rPr>
          <w:rStyle w:val="7"/>
          <w:rFonts w:hint="eastAsia" w:ascii="仿宋_GB2312" w:hAnsi="仿宋_GB2312" w:eastAsia="仿宋_GB2312" w:cs="仿宋_GB2312"/>
          <w:color w:val="000000"/>
          <w:sz w:val="32"/>
          <w:szCs w:val="32"/>
          <w:lang w:eastAsia="zh-CN"/>
        </w:rPr>
        <w:t>、</w:t>
      </w:r>
      <w:r>
        <w:rPr>
          <w:rStyle w:val="7"/>
          <w:rFonts w:hint="eastAsia" w:ascii="仿宋_GB2312" w:hAnsi="仿宋_GB2312" w:eastAsia="仿宋_GB2312" w:cs="仿宋_GB2312"/>
          <w:color w:val="000000"/>
          <w:sz w:val="32"/>
          <w:szCs w:val="32"/>
        </w:rPr>
        <w:t>疫区消毒指导，完成消毒灭菌效果监测和评价。</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应用专业：</w:t>
      </w:r>
      <w:r>
        <w:rPr>
          <w:rStyle w:val="7"/>
          <w:rFonts w:hint="eastAsia" w:ascii="仿宋_GB2312" w:hAnsi="仿宋_GB2312" w:eastAsia="仿宋_GB2312" w:cs="仿宋_GB2312"/>
          <w:color w:val="000000"/>
          <w:sz w:val="32"/>
          <w:szCs w:val="32"/>
        </w:rPr>
        <w:t>消毒学、环境卫生学、医院感染控制、传染病防控、医院管理、环境健康和环境工程学。</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b/>
          <w:bCs/>
          <w:color w:val="000000"/>
          <w:sz w:val="32"/>
          <w:szCs w:val="32"/>
        </w:rPr>
      </w:pPr>
      <w:r>
        <w:rPr>
          <w:rStyle w:val="7"/>
          <w:rFonts w:hint="eastAsia" w:ascii="仿宋_GB2312" w:hAnsi="仿宋_GB2312" w:eastAsia="仿宋_GB2312" w:cs="仿宋_GB2312"/>
          <w:b/>
          <w:bCs/>
          <w:color w:val="000000"/>
          <w:sz w:val="32"/>
          <w:szCs w:val="32"/>
        </w:rPr>
        <w:t xml:space="preserve">4、生物安全风险控制方向 </w:t>
      </w:r>
    </w:p>
    <w:p>
      <w:pPr>
        <w:widowControl/>
        <w:wordWrap/>
        <w:adjustRightInd/>
        <w:snapToGrid/>
        <w:spacing w:line="600" w:lineRule="exact"/>
        <w:ind w:left="0" w:leftChars="0" w:right="0" w:firstLine="64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培养目标：</w:t>
      </w:r>
      <w:r>
        <w:rPr>
          <w:rStyle w:val="7"/>
          <w:rFonts w:hint="eastAsia" w:ascii="仿宋_GB2312" w:hAnsi="仿宋_GB2312" w:eastAsia="仿宋_GB2312" w:cs="仿宋_GB2312"/>
          <w:color w:val="000000"/>
          <w:sz w:val="32"/>
          <w:szCs w:val="32"/>
        </w:rPr>
        <w:t>以大健康、大卫生为核心，能够从源头检测和遏制生物威胁，能够定期开展地区生物安全风险评估；能够开展生物安全领域基础研究，包括疫源动物的本底调查，制定重点疫源动物名录和资源库等；构建新的生物安全（涉及重大传染病、动植物检验检疫、生物技术和人类遗传资源等）的资源采集、储藏、利用和对外合作的规范及方法，为科学研究提供基础保障。</w:t>
      </w:r>
    </w:p>
    <w:p>
      <w:pPr>
        <w:widowControl/>
        <w:wordWrap/>
        <w:adjustRightInd/>
        <w:snapToGrid/>
        <w:spacing w:line="600" w:lineRule="exact"/>
        <w:ind w:left="0" w:leftChars="0" w:right="0" w:firstLine="64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任务描述：</w:t>
      </w:r>
      <w:r>
        <w:rPr>
          <w:rStyle w:val="7"/>
          <w:rFonts w:hint="eastAsia" w:ascii="仿宋_GB2312" w:hAnsi="仿宋_GB2312" w:eastAsia="仿宋_GB2312" w:cs="仿宋_GB2312"/>
          <w:color w:val="000000"/>
          <w:sz w:val="32"/>
          <w:szCs w:val="32"/>
        </w:rPr>
        <w:t>生物安全风险评估及控制，生物安全风险监测与预警，生物技术研究开发与应用，病原微生物实验室生物安全管理，人类遗传资源与生物资源安全管理，病原微生物实验室生物安全防护，人种、菌株、毒株序列的生物信息安全评估与保护。</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应用专业：</w:t>
      </w:r>
      <w:r>
        <w:rPr>
          <w:rStyle w:val="7"/>
          <w:rFonts w:hint="eastAsia" w:ascii="仿宋_GB2312" w:hAnsi="仿宋_GB2312" w:eastAsia="仿宋_GB2312" w:cs="仿宋_GB2312"/>
          <w:color w:val="000000"/>
          <w:sz w:val="32"/>
          <w:szCs w:val="32"/>
        </w:rPr>
        <w:t>生物安全、媒介生物控制</w:t>
      </w:r>
      <w:r>
        <w:rPr>
          <w:rStyle w:val="7"/>
          <w:rFonts w:hint="eastAsia" w:ascii="仿宋_GB2312" w:hAnsi="仿宋_GB2312" w:eastAsia="仿宋_GB2312" w:cs="仿宋_GB2312"/>
          <w:color w:val="000000"/>
          <w:sz w:val="32"/>
          <w:szCs w:val="32"/>
          <w:lang w:eastAsia="zh-CN"/>
        </w:rPr>
        <w:t>、</w:t>
      </w:r>
      <w:r>
        <w:rPr>
          <w:rStyle w:val="7"/>
          <w:rFonts w:hint="eastAsia" w:ascii="仿宋_GB2312" w:hAnsi="仿宋_GB2312" w:eastAsia="仿宋_GB2312" w:cs="仿宋_GB2312"/>
          <w:color w:val="000000"/>
          <w:sz w:val="32"/>
          <w:szCs w:val="32"/>
        </w:rPr>
        <w:t>传染病</w:t>
      </w:r>
      <w:r>
        <w:rPr>
          <w:rStyle w:val="7"/>
          <w:rFonts w:hint="eastAsia" w:ascii="仿宋_GB2312" w:hAnsi="仿宋_GB2312" w:eastAsia="仿宋_GB2312" w:cs="仿宋_GB2312"/>
          <w:color w:val="000000"/>
          <w:sz w:val="32"/>
          <w:szCs w:val="32"/>
          <w:lang w:eastAsia="zh-CN"/>
        </w:rPr>
        <w:t>、</w:t>
      </w:r>
      <w:r>
        <w:rPr>
          <w:rStyle w:val="7"/>
          <w:rFonts w:hint="eastAsia" w:ascii="仿宋_GB2312" w:hAnsi="仿宋_GB2312" w:eastAsia="仿宋_GB2312" w:cs="仿宋_GB2312"/>
          <w:color w:val="000000"/>
          <w:sz w:val="32"/>
          <w:szCs w:val="32"/>
        </w:rPr>
        <w:t>卫生法学、微生物学、建筑学（通风）、消毒学。</w:t>
      </w:r>
    </w:p>
    <w:p>
      <w:pPr>
        <w:widowControl/>
        <w:numPr>
          <w:ilvl w:val="0"/>
          <w:numId w:val="4"/>
        </w:numPr>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b/>
          <w:bCs/>
          <w:color w:val="000000"/>
          <w:sz w:val="32"/>
          <w:szCs w:val="32"/>
        </w:rPr>
      </w:pPr>
      <w:r>
        <w:rPr>
          <w:rStyle w:val="7"/>
          <w:rFonts w:hint="eastAsia" w:ascii="仿宋_GB2312" w:hAnsi="仿宋_GB2312" w:eastAsia="仿宋_GB2312" w:cs="仿宋_GB2312"/>
          <w:b/>
          <w:bCs/>
          <w:color w:val="000000"/>
          <w:sz w:val="32"/>
          <w:szCs w:val="32"/>
        </w:rPr>
        <w:t xml:space="preserve">传染病社区防控和基层卫生方向 </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培养目标：</w:t>
      </w:r>
      <w:r>
        <w:rPr>
          <w:rStyle w:val="7"/>
          <w:rFonts w:hint="eastAsia" w:ascii="仿宋_GB2312" w:hAnsi="仿宋_GB2312" w:eastAsia="仿宋_GB2312" w:cs="仿宋_GB2312"/>
          <w:color w:val="000000"/>
          <w:sz w:val="32"/>
          <w:szCs w:val="32"/>
        </w:rPr>
        <w:t>能够充分发挥社区动员能力，在突发公共事件应对中有效实施和落实诸如网格化、地毯式管理</w:t>
      </w:r>
      <w:r>
        <w:rPr>
          <w:rStyle w:val="7"/>
          <w:rFonts w:hint="eastAsia" w:ascii="仿宋_GB2312" w:hAnsi="仿宋_GB2312" w:eastAsia="仿宋_GB2312" w:cs="仿宋_GB2312"/>
          <w:color w:val="000000"/>
          <w:sz w:val="32"/>
          <w:szCs w:val="32"/>
          <w:lang w:eastAsia="zh-CN"/>
        </w:rPr>
        <w:t>、</w:t>
      </w:r>
      <w:r>
        <w:rPr>
          <w:rStyle w:val="7"/>
          <w:rFonts w:hint="eastAsia" w:ascii="仿宋_GB2312" w:hAnsi="仿宋_GB2312" w:eastAsia="仿宋_GB2312" w:cs="仿宋_GB2312"/>
          <w:color w:val="000000"/>
          <w:sz w:val="32"/>
          <w:szCs w:val="32"/>
        </w:rPr>
        <w:t>群防群控</w:t>
      </w:r>
      <w:r>
        <w:rPr>
          <w:rStyle w:val="7"/>
          <w:rFonts w:hint="eastAsia" w:ascii="仿宋_GB2312" w:hAnsi="仿宋_GB2312" w:eastAsia="仿宋_GB2312" w:cs="仿宋_GB2312"/>
          <w:color w:val="000000"/>
          <w:sz w:val="32"/>
          <w:szCs w:val="32"/>
          <w:lang w:eastAsia="zh-CN"/>
        </w:rPr>
        <w:t>、</w:t>
      </w:r>
      <w:r>
        <w:rPr>
          <w:rStyle w:val="7"/>
          <w:rFonts w:hint="eastAsia" w:ascii="仿宋_GB2312" w:hAnsi="仿宋_GB2312" w:eastAsia="仿宋_GB2312" w:cs="仿宋_GB2312"/>
          <w:color w:val="000000"/>
          <w:sz w:val="32"/>
          <w:szCs w:val="32"/>
        </w:rPr>
        <w:t>稳防稳控的综合性防控措施，做到“早发现、早报告、早隔离、早诊断、早治疗”，防止疫情出现社区传播。要求社区防控专业人员不仅具备扎实的疾病防控专业知识</w:t>
      </w:r>
      <w:r>
        <w:rPr>
          <w:rStyle w:val="7"/>
          <w:rFonts w:hint="eastAsia" w:ascii="仿宋_GB2312" w:hAnsi="仿宋_GB2312" w:eastAsia="仿宋_GB2312" w:cs="仿宋_GB2312"/>
          <w:color w:val="000000"/>
          <w:sz w:val="32"/>
          <w:szCs w:val="32"/>
          <w:lang w:eastAsia="zh-CN"/>
        </w:rPr>
        <w:t>，</w:t>
      </w:r>
      <w:r>
        <w:rPr>
          <w:rStyle w:val="7"/>
          <w:rFonts w:hint="eastAsia" w:ascii="仿宋_GB2312" w:hAnsi="仿宋_GB2312" w:eastAsia="仿宋_GB2312" w:cs="仿宋_GB2312"/>
          <w:color w:val="000000"/>
          <w:sz w:val="32"/>
          <w:szCs w:val="32"/>
        </w:rPr>
        <w:t>还应具备法治观念素养、应急管理能力和深入群众开展工作的本领。</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任务描述：</w:t>
      </w:r>
      <w:r>
        <w:rPr>
          <w:rStyle w:val="7"/>
          <w:rFonts w:hint="eastAsia" w:ascii="仿宋_GB2312" w:hAnsi="仿宋_GB2312" w:eastAsia="仿宋_GB2312" w:cs="仿宋_GB2312"/>
          <w:color w:val="000000"/>
          <w:sz w:val="32"/>
          <w:szCs w:val="32"/>
        </w:rPr>
        <w:t>社区公共卫生风险评估与分级管理，社区公共卫生感染与质量控制。公共卫生事件的社区宣教、流调溯源，协助指挥调度居家隔离、小区封控的实施，保障社区封控中的物资转运，制定社区防疫人员防护标准并开展技能培训，开展针对性的健康教育。</w:t>
      </w:r>
      <w:r>
        <w:rPr>
          <w:rStyle w:val="7"/>
          <w:rFonts w:hint="eastAsia" w:ascii="仿宋_GB2312" w:hAnsi="仿宋_GB2312" w:eastAsia="仿宋_GB2312" w:cs="仿宋_GB2312"/>
          <w:color w:val="000000"/>
          <w:sz w:val="32"/>
          <w:szCs w:val="32"/>
        </w:rPr>
        <w:t>发挥中医药在社区卫生服务中的作用，不断拓宽中医药服务领域，提高中医药社区服务能力</w:t>
      </w:r>
      <w:r>
        <w:rPr>
          <w:rStyle w:val="7"/>
          <w:rFonts w:hint="eastAsia" w:ascii="仿宋_GB2312" w:hAnsi="仿宋_GB2312" w:eastAsia="仿宋_GB2312" w:cs="仿宋_GB2312"/>
          <w:color w:val="000000"/>
          <w:sz w:val="32"/>
          <w:szCs w:val="32"/>
          <w:lang w:eastAsia="zh-CN"/>
        </w:rPr>
        <w:t>。</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color w:val="000000"/>
          <w:sz w:val="32"/>
          <w:szCs w:val="32"/>
        </w:rPr>
        <w:t>应用专业：社会医学、基层卫生健康、健康教育与健康促进、全科医学、社区治理、消毒学、传染病防控、中医疫病学、中医治未病、环境健康和环境工程学、精神卫生、卫生事业管理、家庭医学、社会工作。</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b/>
          <w:bCs/>
          <w:color w:val="000000"/>
          <w:sz w:val="32"/>
          <w:szCs w:val="32"/>
        </w:rPr>
      </w:pPr>
      <w:r>
        <w:rPr>
          <w:rStyle w:val="7"/>
          <w:rFonts w:hint="eastAsia" w:ascii="仿宋_GB2312" w:hAnsi="仿宋_GB2312" w:eastAsia="仿宋_GB2312" w:cs="仿宋_GB2312"/>
          <w:b/>
          <w:bCs/>
          <w:color w:val="000000"/>
          <w:sz w:val="32"/>
          <w:szCs w:val="32"/>
        </w:rPr>
        <w:t xml:space="preserve">6、健康医疗大数据和医学信息工程方向 </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培养目标：</w:t>
      </w:r>
      <w:r>
        <w:rPr>
          <w:rStyle w:val="7"/>
          <w:rFonts w:hint="eastAsia" w:ascii="仿宋_GB2312" w:hAnsi="仿宋_GB2312" w:eastAsia="仿宋_GB2312" w:cs="仿宋_GB2312"/>
          <w:color w:val="000000"/>
          <w:sz w:val="32"/>
          <w:szCs w:val="32"/>
        </w:rPr>
        <w:t>能够开发高效完整的信息化平台，在突发事件应急工作中和常态化的公共卫生实践中，实现以下功能：（1）突发公共事件的动态监测，并提供专业预警信息；（2）将疾病与现有突发公共事件监测信息、医疗救治信息、卫生执法监督信息和其他相关信息统一在公共卫生信息系统网络平台上，以协助有效动员和调度各种资源，以及协助进行指挥决策；（3）实现异地会商、远程会诊、前线指挥；（4）监测适用于各级的突发公共事件的媒体信息，并在此基础上实现风险研判。</w:t>
      </w:r>
    </w:p>
    <w:p>
      <w:pPr>
        <w:widowControl/>
        <w:wordWrap/>
        <w:adjustRightInd/>
        <w:snapToGrid/>
        <w:spacing w:line="600" w:lineRule="exact"/>
        <w:ind w:left="0" w:leftChars="0" w:right="0" w:firstLine="640" w:firstLineChars="200"/>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任务描述：</w:t>
      </w:r>
      <w:r>
        <w:rPr>
          <w:rStyle w:val="7"/>
          <w:rFonts w:hint="eastAsia" w:ascii="仿宋_GB2312" w:hAnsi="仿宋_GB2312" w:eastAsia="仿宋_GB2312" w:cs="仿宋_GB2312"/>
          <w:color w:val="000000"/>
          <w:sz w:val="32"/>
          <w:szCs w:val="32"/>
        </w:rPr>
        <w:t>利用数学模型、地理信息系统等新技术和新应用，预警预测重大传染病变化趋势，开展大数据分析研判，统合各种来源的疫情数据，建立全市疫情数据库，对风险人群实行信息化闭环管理，实现信息共享，提高风险人员排查</w:t>
      </w:r>
      <w:r>
        <w:rPr>
          <w:rStyle w:val="7"/>
          <w:rFonts w:hint="eastAsia" w:ascii="仿宋_GB2312" w:hAnsi="仿宋_GB2312" w:eastAsia="仿宋_GB2312" w:cs="仿宋_GB2312"/>
          <w:color w:val="000000"/>
          <w:sz w:val="32"/>
          <w:szCs w:val="32"/>
          <w:lang w:val="en-US" w:eastAsia="zh-CN"/>
        </w:rPr>
        <w:t>及</w:t>
      </w:r>
      <w:r>
        <w:rPr>
          <w:rStyle w:val="7"/>
          <w:rFonts w:hint="eastAsia" w:ascii="仿宋_GB2312" w:hAnsi="仿宋_GB2312" w:eastAsia="仿宋_GB2312" w:cs="仿宋_GB2312"/>
          <w:color w:val="000000"/>
          <w:sz w:val="32"/>
          <w:szCs w:val="32"/>
        </w:rPr>
        <w:t>流调溯源的及时性、精准性。</w:t>
      </w:r>
    </w:p>
    <w:p>
      <w:pPr>
        <w:widowControl/>
        <w:wordWrap/>
        <w:adjustRightInd/>
        <w:snapToGrid/>
        <w:spacing w:line="600" w:lineRule="exact"/>
        <w:ind w:left="0" w:leftChars="0" w:right="0"/>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color w:val="000000"/>
          <w:sz w:val="32"/>
          <w:szCs w:val="32"/>
        </w:rPr>
        <w:t xml:space="preserve">    </w:t>
      </w:r>
      <w:r>
        <w:rPr>
          <w:rStyle w:val="7"/>
          <w:rFonts w:hint="eastAsia" w:ascii="仿宋_GB2312" w:hAnsi="仿宋_GB2312" w:eastAsia="仿宋_GB2312" w:cs="仿宋_GB2312"/>
          <w:b/>
          <w:bCs/>
          <w:color w:val="000000"/>
          <w:sz w:val="32"/>
          <w:szCs w:val="32"/>
        </w:rPr>
        <w:t>应用专业：</w:t>
      </w:r>
      <w:r>
        <w:rPr>
          <w:rStyle w:val="7"/>
          <w:rFonts w:hint="eastAsia" w:ascii="仿宋_GB2312" w:hAnsi="仿宋_GB2312" w:eastAsia="仿宋_GB2312" w:cs="仿宋_GB2312"/>
          <w:color w:val="000000"/>
          <w:sz w:val="32"/>
          <w:szCs w:val="32"/>
        </w:rPr>
        <w:t>卫生信息学、计算机科学、信息化建设和管理、流行病学。</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b/>
          <w:bCs/>
          <w:color w:val="000000"/>
          <w:sz w:val="32"/>
          <w:szCs w:val="32"/>
        </w:rPr>
      </w:pPr>
      <w:r>
        <w:rPr>
          <w:rStyle w:val="7"/>
          <w:rFonts w:hint="eastAsia" w:ascii="仿宋_GB2312" w:hAnsi="仿宋_GB2312" w:eastAsia="仿宋_GB2312" w:cs="仿宋_GB2312"/>
          <w:b/>
          <w:bCs/>
          <w:color w:val="000000"/>
          <w:sz w:val="32"/>
          <w:szCs w:val="32"/>
        </w:rPr>
        <w:t xml:space="preserve">7、健康医疗大数据统计分析和风险研判方向 </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培养目标：</w:t>
      </w:r>
      <w:r>
        <w:rPr>
          <w:rStyle w:val="7"/>
          <w:rFonts w:hint="eastAsia" w:ascii="仿宋_GB2312" w:hAnsi="仿宋_GB2312" w:eastAsia="仿宋_GB2312" w:cs="仿宋_GB2312"/>
          <w:color w:val="000000"/>
          <w:sz w:val="32"/>
          <w:szCs w:val="32"/>
        </w:rPr>
        <w:t>通过信息系统或终端获取突发公共事件或应急资源的实时数据，对已知的突发公共卫生事件进行事态评估；对不明原因突发公共卫生事件，按预警条件，进行事态评估，制定预警上线；综合国内外已有的风险评估工具</w:t>
      </w:r>
      <w:r>
        <w:rPr>
          <w:rStyle w:val="7"/>
          <w:rFonts w:hint="eastAsia" w:ascii="仿宋_GB2312" w:hAnsi="仿宋_GB2312" w:eastAsia="仿宋_GB2312" w:cs="仿宋_GB2312"/>
          <w:color w:val="000000"/>
          <w:sz w:val="32"/>
          <w:szCs w:val="32"/>
          <w:lang w:eastAsia="zh-CN"/>
        </w:rPr>
        <w:t>，</w:t>
      </w:r>
      <w:r>
        <w:rPr>
          <w:rStyle w:val="7"/>
          <w:rFonts w:hint="eastAsia" w:ascii="仿宋_GB2312" w:hAnsi="仿宋_GB2312" w:eastAsia="仿宋_GB2312" w:cs="仿宋_GB2312"/>
          <w:color w:val="000000"/>
          <w:sz w:val="32"/>
          <w:szCs w:val="32"/>
        </w:rPr>
        <w:t>结合目前已有的相关经验，制定适合各级使用的突发公共卫生事件风险评估框架，开发适合各级使用的风险评估决策辅助工具。</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任务描述：</w:t>
      </w:r>
      <w:r>
        <w:rPr>
          <w:rStyle w:val="7"/>
          <w:rFonts w:hint="eastAsia" w:ascii="仿宋_GB2312" w:hAnsi="仿宋_GB2312" w:eastAsia="仿宋_GB2312" w:cs="仿宋_GB2312"/>
          <w:color w:val="000000"/>
          <w:sz w:val="32"/>
          <w:szCs w:val="32"/>
        </w:rPr>
        <w:t>对已有的疫情数据信息进行整理、分析，运用数学模型、生物医学大数据的基础理论方法等，对事件发生、发展、转归进行预测和分析，掌握疾病流行趋势，及时做出评估和研判；发现聚集性疫情或现状发展规律，为疫情等防控措施的制定提供科学依据；进行常见传染病、新发传染病的预测、预警，为更好控制疫情发展形势提供评估依据。</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应用专业：</w:t>
      </w:r>
      <w:r>
        <w:rPr>
          <w:rStyle w:val="7"/>
          <w:rFonts w:hint="eastAsia" w:ascii="仿宋_GB2312" w:hAnsi="仿宋_GB2312" w:eastAsia="仿宋_GB2312" w:cs="仿宋_GB2312"/>
          <w:color w:val="000000"/>
          <w:sz w:val="32"/>
          <w:szCs w:val="32"/>
        </w:rPr>
        <w:t>应用数学、数学（建模）、流行病学、预防医学、地理信息学、人工智能、卫生评价、卫生统计学、大数据分析、风险建模、决策学。</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b/>
          <w:bCs/>
          <w:color w:val="000000"/>
          <w:sz w:val="32"/>
          <w:szCs w:val="32"/>
        </w:rPr>
      </w:pPr>
      <w:r>
        <w:rPr>
          <w:rStyle w:val="7"/>
          <w:rFonts w:hint="eastAsia" w:ascii="仿宋_GB2312" w:hAnsi="仿宋_GB2312" w:eastAsia="仿宋_GB2312" w:cs="仿宋_GB2312"/>
          <w:b/>
          <w:bCs/>
          <w:color w:val="000000"/>
          <w:sz w:val="32"/>
          <w:szCs w:val="32"/>
        </w:rPr>
        <w:t xml:space="preserve">8、重大传染病疫情的全球卫生治理方向 </w:t>
      </w:r>
    </w:p>
    <w:p>
      <w:pPr>
        <w:widowControl/>
        <w:wordWrap/>
        <w:adjustRightInd/>
        <w:snapToGrid/>
        <w:spacing w:line="600" w:lineRule="exact"/>
        <w:ind w:left="0" w:leftChars="0" w:right="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color w:val="000000"/>
          <w:sz w:val="32"/>
          <w:szCs w:val="32"/>
        </w:rPr>
        <w:t xml:space="preserve">  </w:t>
      </w:r>
      <w:r>
        <w:rPr>
          <w:rStyle w:val="7"/>
          <w:rFonts w:hint="eastAsia" w:ascii="仿宋_GB2312" w:hAnsi="仿宋_GB2312" w:eastAsia="仿宋_GB2312" w:cs="仿宋_GB2312"/>
          <w:b/>
          <w:bCs/>
          <w:color w:val="000000"/>
          <w:sz w:val="32"/>
          <w:szCs w:val="32"/>
        </w:rPr>
        <w:t xml:space="preserve">   培养目标：</w:t>
      </w:r>
      <w:r>
        <w:rPr>
          <w:rStyle w:val="7"/>
          <w:rFonts w:hint="eastAsia" w:ascii="仿宋_GB2312" w:hAnsi="仿宋_GB2312" w:eastAsia="仿宋_GB2312" w:cs="仿宋_GB2312"/>
          <w:color w:val="000000"/>
          <w:sz w:val="32"/>
          <w:szCs w:val="32"/>
        </w:rPr>
        <w:t>掌握扎实的全球卫生基本理论与技能，具有广阔国际视野和深厚人文底蕴，善于开展跨文化沟通与协调的新型复合型人才，能够在国际间卫生治理、卫生外交、健康公平、重大传染性疾病防控、健康风险评估与预测、健康伦理学等领域为政府部门开展多边合作、交流与相关人员培训提供政策建议。</w:t>
      </w:r>
    </w:p>
    <w:p>
      <w:pPr>
        <w:widowControl/>
        <w:wordWrap/>
        <w:adjustRightInd/>
        <w:snapToGrid/>
        <w:spacing w:line="600" w:lineRule="exact"/>
        <w:ind w:left="0" w:leftChars="0" w:right="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color w:val="000000"/>
          <w:sz w:val="32"/>
          <w:szCs w:val="32"/>
        </w:rPr>
        <w:t xml:space="preserve">   </w:t>
      </w:r>
      <w:r>
        <w:rPr>
          <w:rStyle w:val="7"/>
          <w:rFonts w:hint="eastAsia" w:ascii="仿宋_GB2312" w:hAnsi="仿宋_GB2312" w:eastAsia="仿宋_GB2312" w:cs="仿宋_GB2312"/>
          <w:b/>
          <w:bCs/>
          <w:color w:val="000000"/>
          <w:sz w:val="32"/>
          <w:szCs w:val="32"/>
        </w:rPr>
        <w:t xml:space="preserve"> 任务描述：</w:t>
      </w:r>
      <w:r>
        <w:rPr>
          <w:rStyle w:val="7"/>
          <w:rFonts w:hint="eastAsia" w:ascii="仿宋_GB2312" w:hAnsi="仿宋_GB2312" w:eastAsia="仿宋_GB2312" w:cs="仿宋_GB2312"/>
          <w:color w:val="000000"/>
          <w:sz w:val="32"/>
          <w:szCs w:val="32"/>
        </w:rPr>
        <w:t>开展全球健康政策研究；评估全球以及目标国家地区的重点健康挑战，对国际、洲际、国内及全市疫情动态进行定期分析，提出疫情变化方向，针对性提出防控措施；研究、建立和推广适宜防控策略和标准，开展国际卫生应急救护救援研究与实践，提升北京全球健康能力建设，加强国际化专家人才培养。</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应用专业：</w:t>
      </w:r>
      <w:r>
        <w:rPr>
          <w:rStyle w:val="7"/>
          <w:rFonts w:hint="eastAsia" w:ascii="仿宋_GB2312" w:hAnsi="仿宋_GB2312" w:eastAsia="仿宋_GB2312" w:cs="仿宋_GB2312"/>
          <w:color w:val="000000"/>
          <w:sz w:val="32"/>
          <w:szCs w:val="32"/>
        </w:rPr>
        <w:t xml:space="preserve">信息情报学、全球疾病流行病学、全球卫生、传染病、伦理学、政治学、外交学、卫生事业管理、卫生应急管理、紧急医学救援。 </w:t>
      </w:r>
    </w:p>
    <w:p>
      <w:pPr>
        <w:widowControl/>
        <w:wordWrap/>
        <w:adjustRightInd/>
        <w:snapToGrid/>
        <w:spacing w:line="600" w:lineRule="exact"/>
        <w:ind w:left="0" w:leftChars="0" w:right="0"/>
        <w:jc w:val="both"/>
        <w:textAlignment w:val="baseline"/>
        <w:outlineLvl w:val="9"/>
        <w:rPr>
          <w:rStyle w:val="7"/>
          <w:rFonts w:hint="eastAsia" w:ascii="仿宋_GB2312" w:hAnsi="仿宋_GB2312" w:eastAsia="仿宋_GB2312" w:cs="仿宋_GB2312"/>
          <w:b/>
          <w:bCs/>
          <w:color w:val="000000"/>
          <w:sz w:val="32"/>
          <w:szCs w:val="32"/>
        </w:rPr>
      </w:pPr>
      <w:r>
        <w:rPr>
          <w:rStyle w:val="7"/>
          <w:rFonts w:hint="eastAsia" w:ascii="仿宋_GB2312" w:hAnsi="仿宋_GB2312" w:eastAsia="仿宋_GB2312" w:cs="仿宋_GB2312"/>
          <w:b/>
          <w:bCs/>
          <w:color w:val="000000"/>
          <w:sz w:val="32"/>
          <w:szCs w:val="32"/>
        </w:rPr>
        <w:t xml:space="preserve">     9、公共卫生干预的卫生经济学评估方向 </w:t>
      </w:r>
    </w:p>
    <w:p>
      <w:pPr>
        <w:widowControl/>
        <w:wordWrap/>
        <w:adjustRightInd/>
        <w:snapToGrid/>
        <w:spacing w:line="600" w:lineRule="exact"/>
        <w:ind w:left="0" w:leftChars="0" w:right="0"/>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color w:val="000000"/>
          <w:sz w:val="32"/>
          <w:szCs w:val="32"/>
        </w:rPr>
        <w:t xml:space="preserve">    </w:t>
      </w:r>
      <w:r>
        <w:rPr>
          <w:rStyle w:val="7"/>
          <w:rFonts w:hint="eastAsia" w:ascii="仿宋_GB2312" w:hAnsi="仿宋_GB2312" w:eastAsia="仿宋_GB2312" w:cs="仿宋_GB2312"/>
          <w:b/>
          <w:bCs/>
          <w:color w:val="000000"/>
          <w:sz w:val="32"/>
          <w:szCs w:val="32"/>
        </w:rPr>
        <w:t xml:space="preserve"> 培养目标：</w:t>
      </w:r>
      <w:r>
        <w:rPr>
          <w:rStyle w:val="7"/>
          <w:rFonts w:hint="eastAsia" w:ascii="仿宋_GB2312" w:hAnsi="仿宋_GB2312" w:eastAsia="仿宋_GB2312" w:cs="仿宋_GB2312"/>
          <w:color w:val="000000"/>
          <w:sz w:val="32"/>
          <w:szCs w:val="32"/>
        </w:rPr>
        <w:t>准确理解和掌握卫生经济学的基本原理；熟练运用卫生经济学分析工具（如计量经济学）来评价卫生政策，包括成本、质量和可及性；为医疗卫生体系中的改革难题提出解决方案</w:t>
      </w:r>
      <w:r>
        <w:rPr>
          <w:rStyle w:val="7"/>
          <w:rFonts w:hint="eastAsia" w:ascii="仿宋_GB2312" w:hAnsi="仿宋_GB2312" w:eastAsia="仿宋_GB2312" w:cs="仿宋_GB2312"/>
          <w:color w:val="000000"/>
          <w:sz w:val="32"/>
          <w:szCs w:val="32"/>
          <w:lang w:eastAsia="zh-CN"/>
        </w:rPr>
        <w:t>；</w:t>
      </w:r>
      <w:r>
        <w:rPr>
          <w:rStyle w:val="7"/>
          <w:rFonts w:hint="eastAsia" w:ascii="仿宋_GB2312" w:hAnsi="仿宋_GB2312" w:eastAsia="仿宋_GB2312" w:cs="仿宋_GB2312"/>
          <w:color w:val="000000"/>
          <w:sz w:val="32"/>
          <w:szCs w:val="32"/>
        </w:rPr>
        <w:t>具有比较广泛的人文社会科学和相对坚实的经济学专业基础，并能够将经济理论与卫生领域的实际问题相结合。</w:t>
      </w:r>
    </w:p>
    <w:p>
      <w:pPr>
        <w:widowControl/>
        <w:wordWrap/>
        <w:adjustRightInd/>
        <w:snapToGrid/>
        <w:spacing w:line="600" w:lineRule="exact"/>
        <w:ind w:left="0" w:leftChars="0" w:right="0"/>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color w:val="000000"/>
          <w:sz w:val="32"/>
          <w:szCs w:val="32"/>
        </w:rPr>
        <w:t xml:space="preserve">    </w:t>
      </w:r>
      <w:r>
        <w:rPr>
          <w:rStyle w:val="7"/>
          <w:rFonts w:hint="eastAsia" w:ascii="仿宋_GB2312" w:hAnsi="仿宋_GB2312" w:eastAsia="仿宋_GB2312" w:cs="仿宋_GB2312"/>
          <w:b/>
          <w:bCs/>
          <w:color w:val="000000"/>
          <w:sz w:val="32"/>
          <w:szCs w:val="32"/>
        </w:rPr>
        <w:t>任务描述：</w:t>
      </w:r>
      <w:r>
        <w:rPr>
          <w:rStyle w:val="7"/>
          <w:rFonts w:hint="eastAsia" w:ascii="仿宋_GB2312" w:hAnsi="仿宋_GB2312" w:eastAsia="仿宋_GB2312" w:cs="仿宋_GB2312"/>
          <w:color w:val="000000"/>
          <w:sz w:val="32"/>
          <w:szCs w:val="32"/>
        </w:rPr>
        <w:t>运用数学模型、经济学方法对公共卫生事件的防控措施、疫情发展、社会影响等方面进行效果评价和成本效益分析，评估社会影响。</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应用专业：</w:t>
      </w:r>
      <w:r>
        <w:rPr>
          <w:rStyle w:val="7"/>
          <w:rFonts w:hint="eastAsia" w:ascii="仿宋_GB2312" w:hAnsi="仿宋_GB2312" w:eastAsia="仿宋_GB2312" w:cs="仿宋_GB2312"/>
          <w:color w:val="000000"/>
          <w:sz w:val="32"/>
          <w:szCs w:val="32"/>
        </w:rPr>
        <w:t>卫生经济学、社会医学、流行病学、数学（建模）、经济学、管理会计、卫生事业管理。</w:t>
      </w:r>
    </w:p>
    <w:p>
      <w:pPr>
        <w:widowControl/>
        <w:wordWrap/>
        <w:adjustRightInd/>
        <w:snapToGrid/>
        <w:spacing w:line="600" w:lineRule="exact"/>
        <w:ind w:left="0" w:leftChars="0" w:right="0" w:firstLine="640" w:firstLineChars="200"/>
        <w:jc w:val="both"/>
        <w:textAlignment w:val="baseline"/>
        <w:outlineLvl w:val="9"/>
        <w:rPr>
          <w:rStyle w:val="7"/>
          <w:rFonts w:hint="eastAsia" w:ascii="仿宋_GB2312" w:hAnsi="仿宋_GB2312" w:eastAsia="仿宋_GB2312" w:cs="仿宋_GB2312"/>
          <w:b/>
          <w:bCs/>
          <w:color w:val="000000"/>
          <w:sz w:val="32"/>
          <w:szCs w:val="32"/>
        </w:rPr>
      </w:pPr>
      <w:r>
        <w:rPr>
          <w:rStyle w:val="7"/>
          <w:rFonts w:hint="eastAsia" w:ascii="仿宋_GB2312" w:hAnsi="仿宋_GB2312" w:eastAsia="仿宋_GB2312" w:cs="仿宋_GB2312"/>
          <w:b/>
          <w:bCs/>
          <w:color w:val="000000"/>
          <w:sz w:val="32"/>
          <w:szCs w:val="32"/>
        </w:rPr>
        <w:t xml:space="preserve">10、病原鉴定、诊断和检测方向 </w:t>
      </w:r>
    </w:p>
    <w:p>
      <w:pPr>
        <w:widowControl/>
        <w:wordWrap/>
        <w:adjustRightInd/>
        <w:snapToGrid/>
        <w:spacing w:line="600" w:lineRule="exact"/>
        <w:ind w:left="0" w:leftChars="0" w:right="0" w:firstLine="64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培养目标：</w:t>
      </w:r>
      <w:r>
        <w:rPr>
          <w:rStyle w:val="7"/>
          <w:rFonts w:hint="eastAsia" w:ascii="仿宋_GB2312" w:hAnsi="仿宋_GB2312" w:eastAsia="仿宋_GB2312" w:cs="仿宋_GB2312"/>
          <w:color w:val="000000"/>
          <w:sz w:val="32"/>
          <w:szCs w:val="32"/>
        </w:rPr>
        <w:t>当地常见、高发的病原和毒物的鉴定和进一步研究能力；高致病性、罕见病原引起的疾病，以及罕见毒物引起中毒的检测能力；应具备前述所有能力，以及新发病原引起的疾病的检测和鉴定能力，不明原因疾病的病因筛查能力，跨地区传播的发现能力。</w:t>
      </w:r>
    </w:p>
    <w:p>
      <w:pPr>
        <w:widowControl/>
        <w:wordWrap/>
        <w:adjustRightInd/>
        <w:snapToGrid/>
        <w:spacing w:line="600" w:lineRule="exact"/>
        <w:ind w:left="0" w:leftChars="0" w:right="0" w:firstLine="640"/>
        <w:jc w:val="both"/>
        <w:textAlignment w:val="baseline"/>
        <w:outlineLvl w:val="9"/>
        <w:rPr>
          <w:rStyle w:val="7"/>
          <w:rFonts w:ascii="仿宋_GB2312" w:hAnsi="仿宋_GB2312" w:eastAsia="仿宋_GB2312" w:cs="仿宋_GB2312"/>
          <w:color w:val="000000"/>
          <w:sz w:val="32"/>
          <w:szCs w:val="32"/>
        </w:rPr>
      </w:pPr>
      <w:r>
        <w:rPr>
          <w:rStyle w:val="7"/>
          <w:rFonts w:hint="eastAsia" w:ascii="仿宋_GB2312" w:hAnsi="仿宋_GB2312" w:eastAsia="仿宋_GB2312" w:cs="仿宋_GB2312"/>
          <w:b/>
          <w:bCs/>
          <w:color w:val="000000"/>
          <w:sz w:val="32"/>
          <w:szCs w:val="32"/>
        </w:rPr>
        <w:t>任务描述：</w:t>
      </w:r>
      <w:r>
        <w:rPr>
          <w:rStyle w:val="7"/>
          <w:rFonts w:hint="eastAsia" w:ascii="仿宋_GB2312" w:hAnsi="仿宋_GB2312" w:eastAsia="仿宋_GB2312" w:cs="仿宋_GB2312"/>
          <w:color w:val="000000"/>
          <w:sz w:val="32"/>
          <w:szCs w:val="32"/>
        </w:rPr>
        <w:t>基于新发突发及常见传染性疾病体外诊断新技术、新方法和新指标的评价和应用，分析病原微生物的生物学特征（用于分型、测序、溯源等）和物理、化学特性（用于指导消毒防护）</w:t>
      </w:r>
      <w:r>
        <w:rPr>
          <w:rStyle w:val="7"/>
          <w:rFonts w:hint="eastAsia" w:ascii="仿宋_GB2312" w:hAnsi="仿宋_GB2312" w:eastAsia="仿宋_GB2312" w:cs="仿宋_GB2312"/>
          <w:color w:val="000000"/>
          <w:sz w:val="32"/>
          <w:szCs w:val="32"/>
          <w:lang w:eastAsia="zh-CN"/>
        </w:rPr>
        <w:t>，</w:t>
      </w:r>
      <w:r>
        <w:rPr>
          <w:rStyle w:val="7"/>
          <w:rFonts w:hint="eastAsia" w:ascii="仿宋_GB2312" w:hAnsi="仿宋_GB2312" w:eastAsia="仿宋_GB2312" w:cs="仿宋_GB2312"/>
          <w:color w:val="000000"/>
          <w:sz w:val="32"/>
          <w:szCs w:val="32"/>
        </w:rPr>
        <w:t>了解</w:t>
      </w:r>
      <w:bookmarkStart w:id="0" w:name="_GoBack"/>
      <w:bookmarkEnd w:id="0"/>
      <w:r>
        <w:rPr>
          <w:rStyle w:val="7"/>
          <w:rFonts w:hint="eastAsia" w:ascii="仿宋_GB2312" w:hAnsi="仿宋_GB2312" w:eastAsia="仿宋_GB2312" w:cs="仿宋_GB2312"/>
          <w:color w:val="000000"/>
          <w:sz w:val="32"/>
          <w:szCs w:val="32"/>
        </w:rPr>
        <w:t>病原微生物基因序列的遗传信息，挖掘病原体与人体细胞作用的分子机理以及人体对某病原体是否存在易感性等遗传机制方面的信息，从基因水平研判病毒进化及分析，为病原溯源提供实验室检验依据。</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olor w:val="000000"/>
          <w:sz w:val="32"/>
          <w:szCs w:val="32"/>
        </w:rPr>
      </w:pPr>
      <w:r>
        <w:rPr>
          <w:rStyle w:val="7"/>
          <w:rFonts w:hint="eastAsia" w:ascii="仿宋_GB2312" w:hAnsi="仿宋_GB2312" w:eastAsia="仿宋_GB2312" w:cs="仿宋_GB2312"/>
          <w:b/>
          <w:bCs/>
          <w:color w:val="000000"/>
          <w:sz w:val="32"/>
          <w:szCs w:val="32"/>
        </w:rPr>
        <w:t>应用专业：</w:t>
      </w:r>
      <w:r>
        <w:rPr>
          <w:rStyle w:val="7"/>
          <w:rFonts w:hint="eastAsia" w:ascii="仿宋_GB2312" w:hAnsi="仿宋_GB2312" w:eastAsia="仿宋_GB2312" w:cs="仿宋_GB2312"/>
          <w:color w:val="000000"/>
          <w:sz w:val="32"/>
          <w:szCs w:val="32"/>
        </w:rPr>
        <w:t>生物化学、微生物学、临床检验诊断学</w:t>
      </w:r>
      <w:r>
        <w:rPr>
          <w:rStyle w:val="7"/>
          <w:rFonts w:hint="eastAsia" w:ascii="仿宋_GB2312" w:hAnsi="仿宋_GB2312" w:eastAsia="仿宋_GB2312" w:cs="仿宋_GB2312"/>
          <w:color w:val="000000"/>
          <w:sz w:val="32"/>
          <w:szCs w:val="32"/>
          <w:lang w:eastAsia="zh-CN"/>
        </w:rPr>
        <w:t>、</w:t>
      </w:r>
      <w:r>
        <w:rPr>
          <w:rStyle w:val="7"/>
          <w:rFonts w:hint="eastAsia" w:ascii="仿宋_GB2312" w:hAnsi="仿宋_GB2312" w:eastAsia="仿宋_GB2312" w:cs="仿宋_GB2312"/>
          <w:color w:val="000000"/>
          <w:sz w:val="32"/>
          <w:szCs w:val="32"/>
        </w:rPr>
        <w:t>微生物检验、分子生物学、基因工程学、病毒学、细菌学、生物信息学、免疫学、传染病流行病学、环境健康和环境工程学、媒介生物控制、病毒学、免疫预防、消毒学、</w:t>
      </w:r>
      <w:r>
        <w:rPr>
          <w:rStyle w:val="7"/>
          <w:rFonts w:hint="eastAsia" w:ascii="仿宋_GB2312" w:hAnsi="仿宋_GB2312" w:eastAsia="仿宋_GB2312"/>
          <w:color w:val="000000"/>
          <w:sz w:val="32"/>
          <w:szCs w:val="32"/>
        </w:rPr>
        <w:t>地方病、卫生毒理</w:t>
      </w:r>
      <w:r>
        <w:rPr>
          <w:rStyle w:val="7"/>
          <w:rFonts w:ascii="仿宋_GB2312" w:hAnsi="仿宋_GB2312" w:eastAsia="仿宋_GB2312"/>
          <w:color w:val="000000"/>
          <w:sz w:val="32"/>
          <w:szCs w:val="32"/>
        </w:rPr>
        <w:t>。</w:t>
      </w:r>
    </w:p>
    <w:p>
      <w:pPr>
        <w:widowControl/>
        <w:wordWrap/>
        <w:adjustRightInd/>
        <w:snapToGrid/>
        <w:spacing w:line="600" w:lineRule="exact"/>
        <w:ind w:left="0" w:leftChars="0" w:right="0"/>
        <w:jc w:val="both"/>
        <w:textAlignment w:val="baseline"/>
        <w:outlineLvl w:val="9"/>
        <w:rPr>
          <w:rStyle w:val="7"/>
          <w:rFonts w:ascii="黑体" w:hAnsi="黑体" w:eastAsia="黑体" w:cs="黑体"/>
          <w:color w:val="000000"/>
          <w:sz w:val="32"/>
          <w:szCs w:val="32"/>
        </w:rPr>
      </w:pPr>
      <w:r>
        <w:rPr>
          <w:rStyle w:val="7"/>
          <w:rFonts w:ascii="仿宋_GB2312" w:hAnsi="仿宋_GB2312" w:eastAsia="仿宋_GB2312" w:cs="仿宋_GB2312"/>
          <w:b/>
          <w:bCs/>
          <w:color w:val="000000"/>
          <w:sz w:val="32"/>
          <w:szCs w:val="32"/>
        </w:rPr>
        <w:t xml:space="preserve">  </w:t>
      </w:r>
      <w:r>
        <w:rPr>
          <w:rStyle w:val="7"/>
          <w:rFonts w:hint="eastAsia" w:ascii="黑体" w:hAnsi="黑体" w:eastAsia="黑体" w:cs="黑体"/>
          <w:color w:val="000000"/>
          <w:sz w:val="32"/>
          <w:szCs w:val="32"/>
        </w:rPr>
        <w:t xml:space="preserve">  二、“急需紧缺</w:t>
      </w:r>
      <w:r>
        <w:rPr>
          <w:rStyle w:val="7"/>
          <w:rFonts w:hint="eastAsia" w:ascii="黑体" w:hAnsi="黑体" w:eastAsia="黑体" w:cs="黑体"/>
          <w:color w:val="000000"/>
          <w:sz w:val="32"/>
          <w:szCs w:val="32"/>
          <w:lang w:val="en-US" w:eastAsia="zh-CN"/>
        </w:rPr>
        <w:t>遴选单元</w:t>
      </w:r>
      <w:r>
        <w:rPr>
          <w:rStyle w:val="7"/>
          <w:rFonts w:hint="eastAsia" w:ascii="黑体" w:hAnsi="黑体" w:eastAsia="黑体" w:cs="黑体"/>
          <w:color w:val="000000"/>
          <w:sz w:val="32"/>
          <w:szCs w:val="32"/>
        </w:rPr>
        <w:t>”递补（5个）</w:t>
      </w:r>
    </w:p>
    <w:p>
      <w:pPr>
        <w:widowControl/>
        <w:wordWrap/>
        <w:adjustRightInd/>
        <w:snapToGrid/>
        <w:spacing w:line="600" w:lineRule="exact"/>
        <w:ind w:left="0" w:leftChars="0" w:right="0"/>
        <w:jc w:val="both"/>
        <w:textAlignment w:val="baseline"/>
        <w:outlineLvl w:val="9"/>
        <w:rPr>
          <w:rStyle w:val="7"/>
          <w:rFonts w:ascii="仿宋_GB2312" w:hAnsi="仿宋_GB2312" w:eastAsia="仿宋_GB2312"/>
          <w:color w:val="000000"/>
          <w:sz w:val="32"/>
          <w:szCs w:val="32"/>
        </w:rPr>
      </w:pPr>
      <w:r>
        <w:rPr>
          <w:rStyle w:val="7"/>
          <w:rFonts w:hint="eastAsia" w:ascii="仿宋_GB2312" w:hAnsi="仿宋_GB2312" w:eastAsia="仿宋_GB2312"/>
          <w:color w:val="000000"/>
          <w:sz w:val="32"/>
          <w:szCs w:val="32"/>
        </w:rPr>
        <w:t xml:space="preserve">    </w:t>
      </w:r>
      <w:r>
        <w:rPr>
          <w:rStyle w:val="7"/>
          <w:rFonts w:hint="eastAsia" w:ascii="仿宋_GB2312" w:hAnsi="仿宋_GB2312" w:eastAsia="仿宋_GB2312"/>
          <w:b/>
          <w:bCs/>
          <w:color w:val="000000"/>
          <w:sz w:val="32"/>
          <w:szCs w:val="32"/>
        </w:rPr>
        <w:t xml:space="preserve">11、突发公共卫生事件的群体心理危机干预 </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olor w:val="000000"/>
          <w:sz w:val="32"/>
          <w:szCs w:val="32"/>
        </w:rPr>
      </w:pPr>
      <w:r>
        <w:rPr>
          <w:rStyle w:val="7"/>
          <w:rFonts w:hint="eastAsia" w:ascii="仿宋_GB2312" w:hAnsi="仿宋_GB2312" w:eastAsia="仿宋_GB2312"/>
          <w:b/>
          <w:bCs/>
          <w:color w:val="000000"/>
          <w:sz w:val="32"/>
          <w:szCs w:val="32"/>
        </w:rPr>
        <w:t>任务描述：</w:t>
      </w:r>
      <w:r>
        <w:rPr>
          <w:rStyle w:val="7"/>
          <w:rFonts w:hint="eastAsia" w:ascii="仿宋_GB2312" w:hAnsi="仿宋_GB2312" w:eastAsia="仿宋_GB2312"/>
          <w:color w:val="000000"/>
          <w:sz w:val="32"/>
          <w:szCs w:val="32"/>
        </w:rPr>
        <w:t>了解突发应急状态下各类人群的心理健康状况，及时识别高危人群，综合应用各类心理危机干预技术，避免极端事件的发生。善于发现可能出现的群体心理危机风险，为政府部门制定防控措施提供解决方案。</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olor w:val="000000"/>
          <w:sz w:val="32"/>
          <w:szCs w:val="32"/>
        </w:rPr>
      </w:pPr>
      <w:r>
        <w:rPr>
          <w:rStyle w:val="7"/>
          <w:rFonts w:hint="eastAsia" w:ascii="仿宋_GB2312" w:hAnsi="仿宋_GB2312" w:eastAsia="仿宋_GB2312"/>
          <w:b/>
          <w:bCs/>
          <w:color w:val="000000"/>
          <w:sz w:val="32"/>
          <w:szCs w:val="32"/>
        </w:rPr>
        <w:t>应用专业：</w:t>
      </w:r>
      <w:r>
        <w:rPr>
          <w:rStyle w:val="7"/>
          <w:rFonts w:hint="eastAsia" w:ascii="仿宋_GB2312" w:hAnsi="仿宋_GB2312" w:eastAsia="仿宋_GB2312"/>
          <w:color w:val="000000"/>
          <w:sz w:val="32"/>
          <w:szCs w:val="32"/>
        </w:rPr>
        <w:t>精神卫生</w:t>
      </w:r>
      <w:r>
        <w:rPr>
          <w:rStyle w:val="7"/>
          <w:rFonts w:hint="eastAsia" w:ascii="仿宋_GB2312" w:hAnsi="仿宋_GB2312" w:eastAsia="仿宋_GB2312"/>
          <w:color w:val="000000"/>
          <w:sz w:val="32"/>
          <w:szCs w:val="32"/>
          <w:lang w:eastAsia="zh-CN"/>
        </w:rPr>
        <w:t>、</w:t>
      </w:r>
      <w:r>
        <w:rPr>
          <w:rStyle w:val="7"/>
          <w:rFonts w:hint="eastAsia" w:ascii="仿宋_GB2312" w:hAnsi="仿宋_GB2312" w:eastAsia="仿宋_GB2312"/>
          <w:color w:val="000000"/>
          <w:sz w:val="32"/>
          <w:szCs w:val="32"/>
        </w:rPr>
        <w:t>心理危机干预</w:t>
      </w:r>
      <w:r>
        <w:rPr>
          <w:rStyle w:val="7"/>
          <w:rFonts w:hint="eastAsia" w:ascii="仿宋_GB2312" w:hAnsi="仿宋_GB2312" w:eastAsia="仿宋_GB2312"/>
          <w:color w:val="000000"/>
          <w:sz w:val="32"/>
          <w:szCs w:val="32"/>
          <w:lang w:eastAsia="zh-CN"/>
        </w:rPr>
        <w:t>、</w:t>
      </w:r>
      <w:r>
        <w:rPr>
          <w:rStyle w:val="7"/>
          <w:rFonts w:hint="eastAsia" w:ascii="仿宋_GB2312" w:hAnsi="仿宋_GB2312" w:eastAsia="仿宋_GB2312"/>
          <w:color w:val="000000"/>
          <w:sz w:val="32"/>
          <w:szCs w:val="32"/>
          <w:lang w:val="en-US" w:eastAsia="zh-CN"/>
        </w:rPr>
        <w:t>中医心理、</w:t>
      </w:r>
      <w:r>
        <w:rPr>
          <w:rStyle w:val="7"/>
          <w:rFonts w:hint="eastAsia" w:ascii="仿宋_GB2312" w:hAnsi="仿宋_GB2312" w:eastAsia="仿宋_GB2312"/>
          <w:color w:val="000000"/>
          <w:sz w:val="32"/>
          <w:szCs w:val="32"/>
        </w:rPr>
        <w:t>健康教育与健康促进。</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b/>
          <w:bCs/>
          <w:color w:val="000000"/>
          <w:sz w:val="32"/>
          <w:szCs w:val="32"/>
        </w:rPr>
      </w:pPr>
      <w:r>
        <w:rPr>
          <w:rStyle w:val="7"/>
          <w:rFonts w:hint="eastAsia" w:ascii="仿宋_GB2312" w:hAnsi="仿宋_GB2312" w:eastAsia="仿宋_GB2312"/>
          <w:b/>
          <w:bCs/>
          <w:color w:val="000000"/>
          <w:sz w:val="32"/>
          <w:szCs w:val="32"/>
        </w:rPr>
        <w:t xml:space="preserve">12、突发公共事件的紧急医学救援 </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olor w:val="000000"/>
          <w:sz w:val="32"/>
          <w:szCs w:val="32"/>
        </w:rPr>
      </w:pPr>
      <w:r>
        <w:rPr>
          <w:rStyle w:val="7"/>
          <w:rFonts w:hint="eastAsia" w:ascii="仿宋_GB2312" w:hAnsi="仿宋_GB2312" w:eastAsia="仿宋_GB2312"/>
          <w:b/>
          <w:bCs/>
          <w:color w:val="000000"/>
          <w:sz w:val="32"/>
          <w:szCs w:val="32"/>
        </w:rPr>
        <w:t>任务描述：</w:t>
      </w:r>
      <w:r>
        <w:rPr>
          <w:rStyle w:val="7"/>
          <w:rFonts w:hint="eastAsia" w:ascii="仿宋_GB2312" w:hAnsi="仿宋_GB2312" w:eastAsia="仿宋_GB2312"/>
          <w:color w:val="000000"/>
          <w:sz w:val="32"/>
          <w:szCs w:val="32"/>
        </w:rPr>
        <w:t>熟悉各类突发公共事件对人群健康造成的潜在危害的特点，迅速调动医疗资源，开展医疗救治和伤员转运，最大程度减轻各类突发事件对人民群众身心健康和生命安全的危害。</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olor w:val="000000"/>
          <w:sz w:val="32"/>
          <w:szCs w:val="32"/>
        </w:rPr>
      </w:pPr>
      <w:r>
        <w:rPr>
          <w:rStyle w:val="7"/>
          <w:rFonts w:hint="eastAsia" w:ascii="仿宋_GB2312" w:hAnsi="仿宋_GB2312" w:eastAsia="仿宋_GB2312"/>
          <w:b/>
          <w:bCs/>
          <w:color w:val="000000"/>
          <w:sz w:val="32"/>
          <w:szCs w:val="32"/>
        </w:rPr>
        <w:t>应用专业：</w:t>
      </w:r>
      <w:r>
        <w:rPr>
          <w:rStyle w:val="7"/>
          <w:rFonts w:hint="eastAsia" w:ascii="仿宋_GB2312" w:hAnsi="仿宋_GB2312" w:eastAsia="仿宋_GB2312"/>
          <w:color w:val="000000"/>
          <w:sz w:val="32"/>
          <w:szCs w:val="32"/>
        </w:rPr>
        <w:t>紧急医学救援</w:t>
      </w:r>
      <w:r>
        <w:rPr>
          <w:rStyle w:val="7"/>
          <w:rFonts w:hint="eastAsia" w:ascii="仿宋_GB2312" w:hAnsi="仿宋_GB2312" w:eastAsia="仿宋_GB2312"/>
          <w:color w:val="000000"/>
          <w:sz w:val="32"/>
          <w:szCs w:val="32"/>
          <w:lang w:eastAsia="zh-CN"/>
        </w:rPr>
        <w:t>、</w:t>
      </w:r>
      <w:r>
        <w:rPr>
          <w:rStyle w:val="7"/>
          <w:rFonts w:hint="eastAsia" w:ascii="仿宋_GB2312" w:hAnsi="仿宋_GB2312" w:eastAsia="仿宋_GB2312"/>
          <w:color w:val="000000"/>
          <w:sz w:val="32"/>
          <w:szCs w:val="32"/>
        </w:rPr>
        <w:t>急诊医学</w:t>
      </w:r>
      <w:r>
        <w:rPr>
          <w:rStyle w:val="7"/>
          <w:rFonts w:hint="eastAsia" w:ascii="仿宋_GB2312" w:hAnsi="仿宋_GB2312" w:eastAsia="仿宋_GB2312"/>
          <w:color w:val="000000"/>
          <w:sz w:val="32"/>
          <w:szCs w:val="32"/>
          <w:lang w:eastAsia="zh-CN"/>
        </w:rPr>
        <w:t>、</w:t>
      </w:r>
      <w:r>
        <w:rPr>
          <w:rStyle w:val="7"/>
          <w:rFonts w:hint="eastAsia" w:ascii="仿宋_GB2312" w:hAnsi="仿宋_GB2312" w:eastAsia="仿宋_GB2312"/>
          <w:color w:val="000000"/>
          <w:sz w:val="32"/>
          <w:szCs w:val="32"/>
        </w:rPr>
        <w:t>输血医学。</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b/>
          <w:bCs/>
          <w:color w:val="000000"/>
          <w:sz w:val="32"/>
          <w:szCs w:val="32"/>
        </w:rPr>
      </w:pPr>
      <w:r>
        <w:rPr>
          <w:rStyle w:val="7"/>
          <w:rFonts w:hint="eastAsia" w:ascii="仿宋_GB2312" w:hAnsi="仿宋_GB2312" w:eastAsia="仿宋_GB2312"/>
          <w:b/>
          <w:bCs/>
          <w:color w:val="000000"/>
          <w:sz w:val="32"/>
          <w:szCs w:val="32"/>
        </w:rPr>
        <w:t>13、紧急医学救援之外的突发公共事件过程应对</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olor w:val="000000"/>
          <w:sz w:val="32"/>
          <w:szCs w:val="32"/>
        </w:rPr>
      </w:pPr>
      <w:r>
        <w:rPr>
          <w:rStyle w:val="7"/>
          <w:rFonts w:hint="eastAsia" w:ascii="仿宋_GB2312" w:hAnsi="仿宋_GB2312" w:eastAsia="仿宋_GB2312"/>
          <w:b/>
          <w:bCs/>
          <w:color w:val="000000"/>
          <w:sz w:val="32"/>
          <w:szCs w:val="32"/>
        </w:rPr>
        <w:t>任务描述：</w:t>
      </w:r>
      <w:r>
        <w:rPr>
          <w:rStyle w:val="7"/>
          <w:rFonts w:hint="eastAsia" w:ascii="仿宋_GB2312" w:hAnsi="仿宋_GB2312" w:eastAsia="仿宋_GB2312"/>
          <w:color w:val="000000"/>
          <w:sz w:val="32"/>
          <w:szCs w:val="32"/>
        </w:rPr>
        <w:t>除重大传染病疫情之外的突发公共事件的应对和处置，包括指挥决策、现场处置、监测预警和事后评估。</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olor w:val="000000"/>
          <w:sz w:val="32"/>
          <w:szCs w:val="32"/>
        </w:rPr>
      </w:pPr>
      <w:r>
        <w:rPr>
          <w:rStyle w:val="7"/>
          <w:rFonts w:hint="eastAsia" w:ascii="仿宋_GB2312" w:hAnsi="仿宋_GB2312" w:eastAsia="仿宋_GB2312"/>
          <w:b/>
          <w:bCs/>
          <w:color w:val="000000"/>
          <w:sz w:val="32"/>
          <w:szCs w:val="32"/>
        </w:rPr>
        <w:t>应用专业：</w:t>
      </w:r>
      <w:r>
        <w:rPr>
          <w:rStyle w:val="7"/>
          <w:rFonts w:hint="eastAsia" w:ascii="仿宋_GB2312" w:hAnsi="仿宋_GB2312" w:eastAsia="仿宋_GB2312"/>
          <w:color w:val="000000"/>
          <w:sz w:val="32"/>
          <w:szCs w:val="32"/>
        </w:rPr>
        <w:t>放射卫生、职业卫生、食品卫生、卫生应急管理、流行病学、卫生统计学、卫生经济学、卫生法学。</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b/>
          <w:bCs/>
          <w:color w:val="000000"/>
          <w:sz w:val="32"/>
          <w:szCs w:val="32"/>
        </w:rPr>
      </w:pPr>
      <w:r>
        <w:rPr>
          <w:rStyle w:val="7"/>
          <w:rFonts w:hint="eastAsia" w:ascii="仿宋_GB2312" w:hAnsi="仿宋_GB2312" w:eastAsia="仿宋_GB2312"/>
          <w:b/>
          <w:bCs/>
          <w:color w:val="000000"/>
          <w:sz w:val="32"/>
          <w:szCs w:val="32"/>
        </w:rPr>
        <w:t xml:space="preserve">14、针对常见病、特殊人群及重点人群的健康促进 </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olor w:val="000000"/>
          <w:sz w:val="32"/>
          <w:szCs w:val="32"/>
        </w:rPr>
      </w:pPr>
      <w:r>
        <w:rPr>
          <w:rStyle w:val="7"/>
          <w:rFonts w:hint="eastAsia" w:ascii="仿宋_GB2312" w:hAnsi="仿宋_GB2312" w:eastAsia="仿宋_GB2312"/>
          <w:b/>
          <w:bCs/>
          <w:color w:val="000000"/>
          <w:sz w:val="32"/>
          <w:szCs w:val="32"/>
        </w:rPr>
        <w:t>任务描述：</w:t>
      </w:r>
      <w:r>
        <w:rPr>
          <w:rStyle w:val="7"/>
          <w:rFonts w:hint="eastAsia" w:ascii="仿宋_GB2312" w:hAnsi="仿宋_GB2312" w:eastAsia="仿宋_GB2312"/>
          <w:color w:val="000000"/>
          <w:sz w:val="32"/>
          <w:szCs w:val="32"/>
        </w:rPr>
        <w:t>针对影响居民人群（包括特殊人群、重点人群，例如职业人群、学生、妇幼人群等）健康的常见疾病，识别、评价、预测和控制危险因素对人群健康的影响，通过早期检测、诊断和处理潜在健康危险，提出预防疾病、保障人群健康的策略和措施。</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olor w:val="000000"/>
          <w:sz w:val="32"/>
          <w:szCs w:val="32"/>
        </w:rPr>
      </w:pPr>
      <w:r>
        <w:rPr>
          <w:rStyle w:val="7"/>
          <w:rFonts w:hint="eastAsia" w:ascii="仿宋_GB2312" w:hAnsi="仿宋_GB2312" w:eastAsia="仿宋_GB2312"/>
          <w:b/>
          <w:bCs/>
          <w:color w:val="000000"/>
          <w:sz w:val="32"/>
          <w:szCs w:val="32"/>
        </w:rPr>
        <w:t>应用专业：</w:t>
      </w:r>
      <w:r>
        <w:rPr>
          <w:rStyle w:val="7"/>
          <w:rFonts w:hint="eastAsia" w:ascii="仿宋_GB2312" w:hAnsi="仿宋_GB2312" w:eastAsia="仿宋_GB2312"/>
          <w:color w:val="000000"/>
          <w:sz w:val="32"/>
          <w:szCs w:val="32"/>
        </w:rPr>
        <w:t>营养卫生、职业卫生、学校卫生、妇幼健康</w:t>
      </w:r>
      <w:r>
        <w:rPr>
          <w:rStyle w:val="7"/>
          <w:rFonts w:hint="eastAsia" w:ascii="仿宋_GB2312" w:hAnsi="仿宋_GB2312" w:eastAsia="仿宋_GB2312"/>
          <w:color w:val="000000"/>
          <w:sz w:val="32"/>
          <w:szCs w:val="32"/>
          <w:lang w:eastAsia="zh-CN"/>
        </w:rPr>
        <w:t>、</w:t>
      </w:r>
      <w:r>
        <w:rPr>
          <w:rStyle w:val="7"/>
          <w:rFonts w:hint="eastAsia" w:ascii="仿宋_GB2312" w:hAnsi="仿宋_GB2312" w:eastAsia="仿宋_GB2312"/>
          <w:color w:val="000000"/>
          <w:sz w:val="32"/>
          <w:szCs w:val="32"/>
          <w:lang w:val="en-US" w:eastAsia="zh-CN"/>
        </w:rPr>
        <w:t>中医治未病</w:t>
      </w:r>
      <w:r>
        <w:rPr>
          <w:rStyle w:val="7"/>
          <w:rFonts w:hint="eastAsia" w:ascii="仿宋_GB2312" w:hAnsi="仿宋_GB2312" w:eastAsia="仿宋_GB2312"/>
          <w:color w:val="000000"/>
          <w:sz w:val="32"/>
          <w:szCs w:val="32"/>
        </w:rPr>
        <w:t>。</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b/>
          <w:bCs/>
          <w:color w:val="000000"/>
          <w:sz w:val="32"/>
          <w:szCs w:val="32"/>
        </w:rPr>
      </w:pPr>
      <w:r>
        <w:rPr>
          <w:rStyle w:val="7"/>
          <w:rFonts w:hint="eastAsia" w:ascii="仿宋_GB2312" w:hAnsi="仿宋_GB2312" w:eastAsia="仿宋_GB2312"/>
          <w:b/>
          <w:bCs/>
          <w:color w:val="000000"/>
          <w:sz w:val="32"/>
          <w:szCs w:val="32"/>
        </w:rPr>
        <w:t xml:space="preserve">15、外源化学物质的卫生毒理基础研究和健康危害控制  </w:t>
      </w:r>
    </w:p>
    <w:p>
      <w:pPr>
        <w:widowControl/>
        <w:wordWrap/>
        <w:adjustRightInd/>
        <w:snapToGrid/>
        <w:spacing w:line="600" w:lineRule="exact"/>
        <w:ind w:left="0" w:leftChars="0" w:right="0" w:firstLine="640" w:firstLineChars="200"/>
        <w:jc w:val="both"/>
        <w:textAlignment w:val="baseline"/>
        <w:outlineLvl w:val="9"/>
        <w:rPr>
          <w:rStyle w:val="7"/>
          <w:rFonts w:ascii="仿宋_GB2312" w:hAnsi="仿宋_GB2312" w:eastAsia="仿宋_GB2312"/>
          <w:color w:val="000000"/>
          <w:sz w:val="32"/>
          <w:szCs w:val="32"/>
        </w:rPr>
      </w:pPr>
      <w:r>
        <w:rPr>
          <w:rStyle w:val="7"/>
          <w:rFonts w:hint="eastAsia" w:ascii="仿宋_GB2312" w:hAnsi="仿宋_GB2312" w:eastAsia="仿宋_GB2312"/>
          <w:b/>
          <w:bCs/>
          <w:color w:val="000000"/>
          <w:sz w:val="32"/>
          <w:szCs w:val="32"/>
        </w:rPr>
        <w:t>任务描述：</w:t>
      </w:r>
      <w:r>
        <w:rPr>
          <w:rStyle w:val="7"/>
          <w:rFonts w:hint="eastAsia" w:ascii="仿宋_GB2312" w:hAnsi="仿宋_GB2312" w:eastAsia="仿宋_GB2312"/>
          <w:color w:val="000000"/>
          <w:sz w:val="32"/>
          <w:szCs w:val="32"/>
        </w:rPr>
        <w:t>研究外源化学物质的毒性和产生毒性作用的条件，阐明剂量-反应关系，为制订卫生标准及防治措施提供理论依据。</w:t>
      </w:r>
    </w:p>
    <w:p>
      <w:pPr>
        <w:widowControl/>
        <w:wordWrap/>
        <w:adjustRightInd/>
        <w:snapToGrid/>
        <w:spacing w:line="600" w:lineRule="exact"/>
        <w:ind w:left="0" w:leftChars="0" w:right="0" w:firstLine="640" w:firstLineChars="200"/>
        <w:jc w:val="both"/>
        <w:textAlignment w:val="baseline"/>
        <w:outlineLvl w:val="9"/>
        <w:rPr>
          <w:rStyle w:val="7"/>
          <w:rFonts w:ascii="黑体" w:hAnsi="黑体" w:eastAsia="黑体" w:cs="黑体"/>
          <w:color w:val="000000"/>
          <w:sz w:val="32"/>
          <w:szCs w:val="32"/>
        </w:rPr>
      </w:pPr>
      <w:r>
        <w:rPr>
          <w:rStyle w:val="7"/>
          <w:rFonts w:hint="eastAsia" w:ascii="仿宋_GB2312" w:hAnsi="仿宋_GB2312" w:eastAsia="仿宋_GB2312"/>
          <w:b/>
          <w:bCs/>
          <w:color w:val="000000"/>
          <w:sz w:val="32"/>
          <w:szCs w:val="32"/>
        </w:rPr>
        <w:t>应用专业：</w:t>
      </w:r>
      <w:r>
        <w:rPr>
          <w:rStyle w:val="7"/>
          <w:rFonts w:hint="eastAsia" w:ascii="仿宋_GB2312" w:hAnsi="仿宋_GB2312" w:eastAsia="仿宋_GB2312"/>
          <w:color w:val="000000"/>
          <w:sz w:val="32"/>
          <w:szCs w:val="32"/>
        </w:rPr>
        <w:t>卫生毒理。</w:t>
      </w: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r>
      <w:rPr>
        <w:rFonts w:ascii="宋体" w:hAnsi="宋体" w:eastAsia="宋体" w:cs="Times New Roman"/>
        <w:sz w:val="18"/>
        <w:szCs w:val="24"/>
        <w:lang w:val="en-US" w:eastAsia="zh-CN" w:bidi="ar-SA"/>
      </w:rPr>
      <w:pict>
        <v:rect id="文本框 1"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37741854">
    <w:nsid w:val="619DF51E"/>
    <w:multiLevelType w:val="singleLevel"/>
    <w:tmpl w:val="619DF51E"/>
    <w:lvl w:ilvl="0" w:tentative="1">
      <w:start w:val="1"/>
      <w:numFmt w:val="decimal"/>
      <w:suff w:val="nothing"/>
      <w:lvlText w:val="%1、"/>
      <w:lvlJc w:val="left"/>
    </w:lvl>
  </w:abstractNum>
  <w:abstractNum w:abstractNumId="1637859716">
    <w:nsid w:val="619FC184"/>
    <w:multiLevelType w:val="singleLevel"/>
    <w:tmpl w:val="619FC184"/>
    <w:lvl w:ilvl="0" w:tentative="1">
      <w:start w:val="5"/>
      <w:numFmt w:val="decimal"/>
      <w:suff w:val="nothing"/>
      <w:lvlText w:val="%1、"/>
      <w:lvlJc w:val="left"/>
    </w:lvl>
  </w:abstractNum>
  <w:abstractNum w:abstractNumId="1637560470">
    <w:nsid w:val="619B3096"/>
    <w:multiLevelType w:val="singleLevel"/>
    <w:tmpl w:val="619B3096"/>
    <w:lvl w:ilvl="0" w:tentative="1">
      <w:start w:val="1"/>
      <w:numFmt w:val="chineseCounting"/>
      <w:suff w:val="nothing"/>
      <w:lvlText w:val="%1、"/>
      <w:lvlJc w:val="left"/>
    </w:lvl>
  </w:abstractNum>
  <w:abstractNum w:abstractNumId="1637560882">
    <w:nsid w:val="619B3232"/>
    <w:multiLevelType w:val="singleLevel"/>
    <w:tmpl w:val="619B3232"/>
    <w:lvl w:ilvl="0" w:tentative="1">
      <w:start w:val="2"/>
      <w:numFmt w:val="decimal"/>
      <w:suff w:val="nothing"/>
      <w:lvlText w:val="%1、"/>
      <w:lvlJc w:val="left"/>
    </w:lvl>
  </w:abstractNum>
  <w:num w:numId="1">
    <w:abstractNumId w:val="1637560470"/>
  </w:num>
  <w:num w:numId="2">
    <w:abstractNumId w:val="1637741854"/>
  </w:num>
  <w:num w:numId="3">
    <w:abstractNumId w:val="1637560882"/>
  </w:num>
  <w:num w:numId="4">
    <w:abstractNumId w:val="16378597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7"/>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0"/>
  <w:drawingGridVerticalOrigin w:val="0"/>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0001CA7"/>
    <w:rsid w:val="00094694"/>
    <w:rsid w:val="000A7F0E"/>
    <w:rsid w:val="00172A27"/>
    <w:rsid w:val="002B25C4"/>
    <w:rsid w:val="002D7DD1"/>
    <w:rsid w:val="00303823"/>
    <w:rsid w:val="00372065"/>
    <w:rsid w:val="00495520"/>
    <w:rsid w:val="004C346B"/>
    <w:rsid w:val="00580C20"/>
    <w:rsid w:val="005B22D2"/>
    <w:rsid w:val="00611F92"/>
    <w:rsid w:val="00693059"/>
    <w:rsid w:val="00804A4A"/>
    <w:rsid w:val="00873DF4"/>
    <w:rsid w:val="00A80009"/>
    <w:rsid w:val="00B31A64"/>
    <w:rsid w:val="00D06067"/>
    <w:rsid w:val="00EA6404"/>
    <w:rsid w:val="00F06131"/>
    <w:rsid w:val="00F33B2E"/>
    <w:rsid w:val="00FA7EA5"/>
    <w:rsid w:val="03012F7E"/>
    <w:rsid w:val="04C0345D"/>
    <w:rsid w:val="0C7D670E"/>
    <w:rsid w:val="0EE753D3"/>
    <w:rsid w:val="129F7B9C"/>
    <w:rsid w:val="153D49FE"/>
    <w:rsid w:val="17787D90"/>
    <w:rsid w:val="19584A22"/>
    <w:rsid w:val="1CF04609"/>
    <w:rsid w:val="2E255CA0"/>
    <w:rsid w:val="3E9E2047"/>
    <w:rsid w:val="483E0FD9"/>
    <w:rsid w:val="4AC92EC2"/>
    <w:rsid w:val="4CE0002E"/>
    <w:rsid w:val="56866800"/>
    <w:rsid w:val="57FC2EEA"/>
    <w:rsid w:val="62FA233E"/>
    <w:rsid w:val="63F56A0D"/>
    <w:rsid w:val="6505464C"/>
    <w:rsid w:val="67491F42"/>
    <w:rsid w:val="68376254"/>
    <w:rsid w:val="6D733502"/>
    <w:rsid w:val="6FB82016"/>
    <w:rsid w:val="7510189E"/>
    <w:rsid w:val="767461C8"/>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iPriority="0" w:name="heading 2"/>
    <w:lsdException w:uiPriority="0" w:name="heading 3"/>
    <w:lsdException w:uiPriority="0" w:name="heading 4"/>
    <w:lsdException w:uiPriority="0" w:name="heading 5"/>
    <w:lsdException w:uiPriority="0" w:name="heading 6"/>
    <w:lsdException w:uiPriority="0" w:name="heading 7"/>
    <w:lsdException w:uiPriority="0" w:name="heading 8"/>
    <w:lsdException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unhideWhenUsed="0" w:uiPriority="0" w:semiHidden="0" w:name="Strong"/>
    <w:lsdException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0" w:semiHidden="0" w:name="Light Shading"/>
    <w:lsdException w:unhideWhenUsed="0" w:uiPriority="0" w:semiHidden="0" w:name="Light List"/>
    <w:lsdException w:unhideWhenUsed="0" w:uiPriority="0" w:semiHidden="0" w:name="Light Grid"/>
    <w:lsdException w:unhideWhenUsed="0" w:uiPriority="0" w:semiHidden="0" w:name="Medium Shading 1"/>
    <w:lsdException w:unhideWhenUsed="0" w:uiPriority="0" w:semiHidden="0" w:name="Medium Shading 2"/>
    <w:lsdException w:unhideWhenUsed="0" w:uiPriority="0" w:semiHidden="0" w:name="Medium List 1"/>
    <w:lsdException w:unhideWhenUsed="0" w:uiPriority="0" w:semiHidden="0" w:name="Medium List 2"/>
    <w:lsdException w:unhideWhenUsed="0" w:uiPriority="0" w:semiHidden="0" w:name="Medium Grid 1"/>
    <w:lsdException w:unhideWhenUsed="0" w:uiPriority="0" w:semiHidden="0" w:name="Medium Grid 2"/>
    <w:lsdException w:unhideWhenUsed="0" w:uiPriority="0" w:semiHidden="0" w:name="Medium Grid 3"/>
    <w:lsdException w:unhideWhenUsed="0" w:uiPriority="0" w:semiHidden="0" w:name="Dark List"/>
    <w:lsdException w:unhideWhenUsed="0" w:uiPriority="0" w:semiHidden="0" w:name="Colorful Shading"/>
    <w:lsdException w:unhideWhenUsed="0" w:uiPriority="0" w:semiHidden="0" w:name="Colorful List"/>
    <w:lsdException w:unhideWhenUsed="0" w:uiPriority="0" w:semiHidden="0" w:name="Colorful Grid"/>
    <w:lsdException w:unhideWhenUsed="0" w:uiPriority="0" w:semiHidden="0" w:name="Light Shading Accent 1"/>
    <w:lsdException w:unhideWhenUsed="0" w:uiPriority="0" w:semiHidden="0" w:name="Light List Accent 1"/>
    <w:lsdException w:unhideWhenUsed="0" w:uiPriority="0" w:semiHidden="0" w:name="Light Grid Accent 1"/>
    <w:lsdException w:unhideWhenUsed="0" w:uiPriority="0" w:semiHidden="0" w:name="Medium Shading 1 Accent 1"/>
    <w:lsdException w:unhideWhenUsed="0" w:uiPriority="0" w:semiHidden="0" w:name="Medium Shading 2 Accent 1"/>
    <w:lsdException w:unhideWhenUsed="0" w:uiPriority="0" w:semiHidden="0" w:name="Medium List 1 Accent 1"/>
    <w:lsdException w:unhideWhenUsed="0" w:uiPriority="0" w:semiHidden="0" w:name="Medium List 2 Accent 1"/>
    <w:lsdException w:unhideWhenUsed="0" w:uiPriority="0" w:semiHidden="0" w:name="Medium Grid 1 Accent 1"/>
    <w:lsdException w:unhideWhenUsed="0" w:uiPriority="0" w:semiHidden="0" w:name="Medium Grid 2 Accent 1"/>
    <w:lsdException w:unhideWhenUsed="0" w:uiPriority="0" w:semiHidden="0" w:name="Medium Grid 3 Accent 1"/>
    <w:lsdException w:unhideWhenUsed="0" w:uiPriority="0" w:semiHidden="0" w:name="Dark List Accent 1"/>
    <w:lsdException w:unhideWhenUsed="0" w:uiPriority="0" w:semiHidden="0" w:name="Colorful Shading Accent 1"/>
    <w:lsdException w:unhideWhenUsed="0" w:uiPriority="0" w:semiHidden="0" w:name="Colorful List Accent 1"/>
    <w:lsdException w:unhideWhenUsed="0" w:uiPriority="0" w:semiHidden="0" w:name="Colorful Grid Accent 1"/>
    <w:lsdException w:unhideWhenUsed="0" w:uiPriority="0" w:semiHidden="0" w:name="Light Shading Accent 2"/>
    <w:lsdException w:unhideWhenUsed="0" w:uiPriority="0" w:semiHidden="0" w:name="Light List Accent 2"/>
    <w:lsdException w:unhideWhenUsed="0" w:uiPriority="0" w:semiHidden="0" w:name="Light Grid Accent 2"/>
    <w:lsdException w:unhideWhenUsed="0" w:uiPriority="0" w:semiHidden="0" w:name="Medium Shading 1 Accent 2"/>
    <w:lsdException w:unhideWhenUsed="0" w:uiPriority="0" w:semiHidden="0" w:name="Medium Shading 2 Accent 2"/>
    <w:lsdException w:unhideWhenUsed="0" w:uiPriority="0" w:semiHidden="0" w:name="Medium List 1 Accent 2"/>
    <w:lsdException w:unhideWhenUsed="0" w:uiPriority="0" w:semiHidden="0" w:name="Medium List 2 Accent 2"/>
    <w:lsdException w:unhideWhenUsed="0" w:uiPriority="0" w:semiHidden="0" w:name="Medium Grid 1 Accent 2"/>
    <w:lsdException w:unhideWhenUsed="0" w:uiPriority="0" w:semiHidden="0" w:name="Medium Grid 2 Accent 2"/>
    <w:lsdException w:unhideWhenUsed="0" w:uiPriority="0" w:semiHidden="0" w:name="Medium Grid 3 Accent 2"/>
    <w:lsdException w:unhideWhenUsed="0" w:uiPriority="0" w:semiHidden="0" w:name="Dark List Accent 2"/>
    <w:lsdException w:unhideWhenUsed="0" w:uiPriority="0" w:semiHidden="0" w:name="Colorful Shading Accent 2"/>
    <w:lsdException w:unhideWhenUsed="0" w:uiPriority="0" w:semiHidden="0" w:name="Colorful List Accent 2"/>
    <w:lsdException w:unhideWhenUsed="0" w:uiPriority="0" w:semiHidden="0" w:name="Colorful Grid Accent 2"/>
    <w:lsdException w:unhideWhenUsed="0" w:uiPriority="0" w:semiHidden="0" w:name="Light Shading Accent 3"/>
    <w:lsdException w:unhideWhenUsed="0" w:uiPriority="0" w:semiHidden="0" w:name="Light List Accent 3"/>
    <w:lsdException w:unhideWhenUsed="0" w:uiPriority="0" w:semiHidden="0" w:name="Light Grid Accent 3"/>
    <w:lsdException w:unhideWhenUsed="0" w:uiPriority="0" w:semiHidden="0" w:name="Medium Shading 1 Accent 3"/>
    <w:lsdException w:unhideWhenUsed="0" w:uiPriority="0" w:semiHidden="0" w:name="Medium Shading 2 Accent 3"/>
    <w:lsdException w:unhideWhenUsed="0" w:uiPriority="0" w:semiHidden="0" w:name="Medium List 1 Accent 3"/>
    <w:lsdException w:unhideWhenUsed="0" w:uiPriority="0" w:semiHidden="0" w:name="Medium List 2 Accent 3"/>
    <w:lsdException w:unhideWhenUsed="0" w:uiPriority="0" w:semiHidden="0" w:name="Medium Grid 1 Accent 3"/>
    <w:lsdException w:unhideWhenUsed="0" w:uiPriority="0" w:semiHidden="0" w:name="Medium Grid 2 Accent 3"/>
    <w:lsdException w:unhideWhenUsed="0" w:uiPriority="0" w:semiHidden="0" w:name="Medium Grid 3 Accent 3"/>
    <w:lsdException w:unhideWhenUsed="0" w:uiPriority="0" w:semiHidden="0" w:name="Dark List Accent 3"/>
    <w:lsdException w:unhideWhenUsed="0" w:uiPriority="0" w:semiHidden="0" w:name="Colorful Shading Accent 3"/>
    <w:lsdException w:unhideWhenUsed="0" w:uiPriority="0" w:semiHidden="0" w:name="Colorful List Accent 3"/>
    <w:lsdException w:unhideWhenUsed="0" w:uiPriority="0" w:semiHidden="0" w:name="Colorful Grid Accent 3"/>
    <w:lsdException w:unhideWhenUsed="0" w:uiPriority="0" w:semiHidden="0" w:name="Light Shading Accent 4"/>
    <w:lsdException w:unhideWhenUsed="0" w:uiPriority="0" w:semiHidden="0" w:name="Light List Accent 4"/>
    <w:lsdException w:unhideWhenUsed="0" w:uiPriority="0" w:semiHidden="0" w:name="Light Grid Accent 4"/>
    <w:lsdException w:unhideWhenUsed="0" w:uiPriority="0" w:semiHidden="0" w:name="Medium Shading 1 Accent 4"/>
    <w:lsdException w:unhideWhenUsed="0" w:uiPriority="0" w:semiHidden="0" w:name="Medium Shading 2 Accent 4"/>
    <w:lsdException w:unhideWhenUsed="0" w:uiPriority="0" w:semiHidden="0" w:name="Medium List 1 Accent 4"/>
    <w:lsdException w:unhideWhenUsed="0" w:uiPriority="0" w:semiHidden="0" w:name="Medium List 2 Accent 4"/>
    <w:lsdException w:unhideWhenUsed="0" w:uiPriority="0" w:semiHidden="0" w:name="Medium Grid 1 Accent 4"/>
    <w:lsdException w:unhideWhenUsed="0" w:uiPriority="0" w:semiHidden="0" w:name="Medium Grid 2 Accent 4"/>
    <w:lsdException w:unhideWhenUsed="0" w:uiPriority="0" w:semiHidden="0" w:name="Medium Grid 3 Accent 4"/>
    <w:lsdException w:unhideWhenUsed="0" w:uiPriority="0" w:semiHidden="0" w:name="Dark List Accent 4"/>
    <w:lsdException w:unhideWhenUsed="0" w:uiPriority="0" w:semiHidden="0" w:name="Colorful Shading Accent 4"/>
    <w:lsdException w:unhideWhenUsed="0" w:uiPriority="0" w:semiHidden="0" w:name="Colorful List Accent 4"/>
    <w:lsdException w:unhideWhenUsed="0" w:uiPriority="0" w:semiHidden="0" w:name="Colorful Grid Accent 4"/>
    <w:lsdException w:unhideWhenUsed="0" w:uiPriority="0" w:semiHidden="0" w:name="Light Shading Accent 5"/>
    <w:lsdException w:unhideWhenUsed="0" w:uiPriority="0" w:semiHidden="0" w:name="Light List Accent 5"/>
    <w:lsdException w:unhideWhenUsed="0" w:uiPriority="0" w:semiHidden="0" w:name="Light Grid Accent 5"/>
    <w:lsdException w:unhideWhenUsed="0" w:uiPriority="0" w:semiHidden="0" w:name="Medium Shading 1 Accent 5"/>
    <w:lsdException w:unhideWhenUsed="0" w:uiPriority="0" w:semiHidden="0" w:name="Medium Shading 2 Accent 5"/>
    <w:lsdException w:unhideWhenUsed="0" w:uiPriority="0" w:semiHidden="0" w:name="Medium List 1 Accent 5"/>
    <w:lsdException w:unhideWhenUsed="0" w:uiPriority="0" w:semiHidden="0" w:name="Medium List 2 Accent 5"/>
    <w:lsdException w:unhideWhenUsed="0" w:uiPriority="0" w:semiHidden="0" w:name="Medium Grid 1 Accent 5"/>
    <w:lsdException w:unhideWhenUsed="0" w:uiPriority="0" w:semiHidden="0" w:name="Medium Grid 2 Accent 5"/>
    <w:lsdException w:unhideWhenUsed="0" w:uiPriority="0" w:semiHidden="0" w:name="Medium Grid 3 Accent 5"/>
    <w:lsdException w:unhideWhenUsed="0" w:uiPriority="0" w:semiHidden="0" w:name="Dark List Accent 5"/>
    <w:lsdException w:unhideWhenUsed="0" w:uiPriority="0" w:semiHidden="0" w:name="Colorful Shading Accent 5"/>
    <w:lsdException w:unhideWhenUsed="0" w:uiPriority="0" w:semiHidden="0" w:name="Colorful List Accent 5"/>
    <w:lsdException w:unhideWhenUsed="0" w:uiPriority="0" w:semiHidden="0" w:name="Colorful Grid Accent 5"/>
    <w:lsdException w:unhideWhenUsed="0" w:uiPriority="0" w:semiHidden="0" w:name="Light Shading Accent 6"/>
    <w:lsdException w:unhideWhenUsed="0" w:uiPriority="0" w:semiHidden="0" w:name="Light List Accent 6"/>
    <w:lsdException w:unhideWhenUsed="0" w:uiPriority="0" w:semiHidden="0" w:name="Light Grid Accent 6"/>
    <w:lsdException w:unhideWhenUsed="0" w:uiPriority="0" w:semiHidden="0" w:name="Medium Shading 1 Accent 6"/>
    <w:lsdException w:unhideWhenUsed="0" w:uiPriority="0" w:semiHidden="0" w:name="Medium Shading 2 Accent 6"/>
    <w:lsdException w:unhideWhenUsed="0" w:uiPriority="0" w:semiHidden="0" w:name="Medium List 1 Accent 6"/>
    <w:lsdException w:unhideWhenUsed="0" w:uiPriority="0" w:semiHidden="0" w:name="Medium List 2 Accent 6"/>
    <w:lsdException w:unhideWhenUsed="0" w:uiPriority="0" w:semiHidden="0" w:name="Medium Grid 1 Accent 6"/>
    <w:lsdException w:unhideWhenUsed="0" w:uiPriority="0" w:semiHidden="0" w:name="Medium Grid 2 Accent 6"/>
    <w:lsdException w:unhideWhenUsed="0" w:uiPriority="0" w:semiHidden="0" w:name="Medium Grid 3 Accent 6"/>
    <w:lsdException w:unhideWhenUsed="0" w:uiPriority="0" w:semiHidden="0" w:name="Dark List Accent 6"/>
    <w:lsdException w:unhideWhenUsed="0" w:uiPriority="0" w:semiHidden="0" w:name="Colorful Shading Accent 6"/>
    <w:lsdException w:unhideWhenUsed="0" w:uiPriority="0" w:semiHidden="0" w:name="Colorful List Accent 6"/>
    <w:lsdException w:unhideWhenUsed="0" w:uiPriority="0" w:semiHidden="0" w:name="Colorful Grid Accent 6"/>
  </w:latentStyles>
  <w:style w:type="paragraph" w:default="1" w:styleId="1">
    <w:name w:val="Normal"/>
    <w:uiPriority w:val="0"/>
    <w:pPr>
      <w:textAlignment w:val="baseline"/>
    </w:pPr>
    <w:rPr>
      <w:rFonts w:ascii="宋体" w:hAnsi="宋体" w:eastAsia="宋体" w:cs="Times New Roman"/>
      <w:sz w:val="24"/>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unhideWhenUsed/>
    <w:uiPriority w:val="99"/>
    <w:pPr>
      <w:tabs>
        <w:tab w:val="center" w:pos="4153"/>
        <w:tab w:val="right" w:pos="8306"/>
      </w:tabs>
      <w:snapToGrid w:val="0"/>
    </w:pPr>
    <w:rPr>
      <w:sz w:val="18"/>
    </w:rPr>
  </w:style>
  <w:style w:type="paragraph" w:styleId="3">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rFonts w:ascii="Times New Roman" w:hAnsi="Times New Roman"/>
      <w:sz w:val="18"/>
    </w:rPr>
  </w:style>
  <w:style w:type="paragraph" w:customStyle="1" w:styleId="6">
    <w:name w:val="HtmlNormal"/>
    <w:basedOn w:val="1"/>
    <w:uiPriority w:val="0"/>
    <w:pPr>
      <w:spacing w:before="100" w:beforeAutospacing="1" w:after="100" w:afterAutospacing="1"/>
    </w:pPr>
  </w:style>
  <w:style w:type="character" w:customStyle="1" w:styleId="7">
    <w:name w:val="NormalCharacter"/>
    <w:uiPriority w:val="0"/>
  </w:style>
  <w:style w:type="table" w:customStyle="1" w:styleId="8">
    <w:name w:val="TableNormal"/>
    <w:uiPriority w:val="0"/>
    <w:tblPr>
      <w:tblStyle w:val="5"/>
      <w:tblLayout w:type="fixed"/>
      <w:tblCellMar>
        <w:top w:w="0" w:type="dxa"/>
        <w:left w:w="0" w:type="dxa"/>
        <w:bottom w:w="0" w:type="dxa"/>
        <w:right w:w="0" w:type="dxa"/>
      </w:tblCellMar>
    </w:tblPr>
    <w:tcPr>
      <w:textDirection w:val="btLr"/>
    </w:tc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678</Words>
  <Characters>3867</Characters>
  <Lines>32</Lines>
  <Paragraphs>9</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2021-12-14T02:41:00Z</dcterms:created>
  <cp:lastModifiedBy>李传亮</cp:lastModifiedBy>
  <cp:lastPrinted>2022-01-11T03:02:00Z</cp:lastPrinted>
  <dcterms:modified xsi:type="dcterms:W3CDTF">2022-01-14T09:22:23Z</dcterms:modified>
  <dc:title>“高层次公共卫生技术人才建设项目”遴选单元（学科分类）修订方案(待审稿）</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