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仿宋" w:hAnsi="仿宋" w:eastAsia="仿宋"/>
          <w:color w:val="000000"/>
          <w:kern w:val="0"/>
          <w:sz w:val="28"/>
          <w:szCs w:val="28"/>
        </w:rPr>
      </w:pPr>
    </w:p>
    <w:p>
      <w:pPr>
        <w:rPr>
          <w:rFonts w:hint="eastAsia" w:ascii="宋体" w:hAnsi="宋体"/>
          <w:color w:val="000000"/>
          <w:kern w:val="0"/>
          <w:sz w:val="24"/>
          <w:szCs w:val="24"/>
          <w:lang w:eastAsia="zh-CN"/>
        </w:rPr>
      </w:pPr>
      <w:bookmarkStart w:id="0" w:name="_GoBack"/>
      <w:bookmarkEnd w:id="0"/>
      <w:r>
        <w:rPr>
          <w:rFonts w:hint="eastAsia" w:ascii="宋体" w:hAnsi="宋体"/>
          <w:color w:val="000000"/>
          <w:kern w:val="0"/>
          <w:sz w:val="24"/>
          <w:szCs w:val="24"/>
          <w:lang w:eastAsia="zh-CN"/>
        </w:rPr>
        <w:t>附件：</w:t>
      </w:r>
    </w:p>
    <w:p>
      <w:pPr>
        <w:adjustRightInd w:val="0"/>
        <w:snapToGrid w:val="0"/>
        <w:spacing w:line="500" w:lineRule="exact"/>
        <w:rPr>
          <w:rFonts w:ascii="宋体" w:hAnsi="宋体"/>
          <w:color w:val="000000"/>
          <w:kern w:val="0"/>
          <w:sz w:val="24"/>
          <w:szCs w:val="24"/>
        </w:rPr>
      </w:pPr>
      <w:r>
        <w:rPr>
          <w:rFonts w:ascii="宋体" w:hAnsi="宋体"/>
          <w:color w:val="000000"/>
          <w:kern w:val="0"/>
          <w:sz w:val="24"/>
          <w:szCs w:val="24"/>
        </w:rPr>
        <w:t>项目名称：</w:t>
      </w:r>
      <w:r>
        <w:rPr>
          <w:rFonts w:hint="eastAsia" w:ascii="宋体" w:hAnsi="宋体"/>
          <w:color w:val="000000"/>
          <w:kern w:val="0"/>
          <w:sz w:val="24"/>
          <w:szCs w:val="24"/>
        </w:rPr>
        <w:t>心力衰竭分子病因及转化医学研究</w:t>
      </w:r>
    </w:p>
    <w:p>
      <w:pPr>
        <w:adjustRightInd w:val="0"/>
        <w:snapToGrid w:val="0"/>
        <w:spacing w:line="500" w:lineRule="exact"/>
        <w:rPr>
          <w:rFonts w:ascii="宋体" w:hAnsi="宋体"/>
          <w:color w:val="000000"/>
          <w:kern w:val="0"/>
          <w:sz w:val="24"/>
          <w:szCs w:val="24"/>
        </w:rPr>
      </w:pPr>
      <w:r>
        <w:rPr>
          <w:rFonts w:hint="eastAsia" w:ascii="宋体" w:hAnsi="宋体"/>
          <w:color w:val="000000"/>
          <w:kern w:val="0"/>
          <w:sz w:val="24"/>
          <w:szCs w:val="24"/>
        </w:rPr>
        <w:t>申报奖项类别：北京市科学技术奖自然科学奖</w:t>
      </w:r>
    </w:p>
    <w:p>
      <w:pPr>
        <w:adjustRightInd w:val="0"/>
        <w:snapToGrid w:val="0"/>
        <w:spacing w:line="500" w:lineRule="exact"/>
        <w:rPr>
          <w:rFonts w:ascii="宋体" w:hAnsi="宋体"/>
          <w:color w:val="000000"/>
          <w:kern w:val="0"/>
          <w:sz w:val="24"/>
          <w:szCs w:val="24"/>
        </w:rPr>
      </w:pPr>
      <w:r>
        <w:rPr>
          <w:rFonts w:hint="eastAsia" w:ascii="宋体" w:hAnsi="宋体"/>
          <w:color w:val="000000"/>
          <w:kern w:val="0"/>
          <w:sz w:val="24"/>
          <w:szCs w:val="24"/>
        </w:rPr>
        <w:t>主要</w:t>
      </w:r>
      <w:r>
        <w:rPr>
          <w:rFonts w:ascii="宋体" w:hAnsi="宋体"/>
          <w:color w:val="000000"/>
          <w:kern w:val="0"/>
          <w:sz w:val="24"/>
          <w:szCs w:val="24"/>
        </w:rPr>
        <w:t>完成单位（含排序）：</w:t>
      </w:r>
      <w:r>
        <w:rPr>
          <w:rFonts w:hint="eastAsia" w:ascii="宋体" w:hAnsi="宋体"/>
          <w:color w:val="000000"/>
          <w:kern w:val="0"/>
          <w:sz w:val="24"/>
          <w:szCs w:val="24"/>
        </w:rPr>
        <w:t>首都医科大学附属北京安贞医院，北京市心肺血管疾病研究所</w:t>
      </w:r>
      <w:r>
        <w:rPr>
          <w:rFonts w:ascii="宋体" w:hAnsi="宋体"/>
          <w:color w:val="000000"/>
          <w:kern w:val="0"/>
          <w:sz w:val="24"/>
          <w:szCs w:val="24"/>
        </w:rPr>
        <w:t xml:space="preserve"> </w:t>
      </w:r>
    </w:p>
    <w:p>
      <w:pPr>
        <w:adjustRightInd w:val="0"/>
        <w:snapToGrid w:val="0"/>
        <w:spacing w:line="500" w:lineRule="exact"/>
        <w:rPr>
          <w:rFonts w:ascii="宋体" w:hAnsi="宋体"/>
          <w:color w:val="000000"/>
          <w:kern w:val="0"/>
          <w:sz w:val="24"/>
          <w:szCs w:val="24"/>
        </w:rPr>
      </w:pPr>
      <w:r>
        <w:rPr>
          <w:rFonts w:hint="eastAsia" w:ascii="宋体" w:hAnsi="宋体"/>
          <w:color w:val="000000"/>
          <w:kern w:val="0"/>
          <w:sz w:val="24"/>
          <w:szCs w:val="24"/>
        </w:rPr>
        <w:t>主要</w:t>
      </w:r>
      <w:r>
        <w:rPr>
          <w:rFonts w:ascii="宋体" w:hAnsi="宋体"/>
          <w:color w:val="000000"/>
          <w:kern w:val="0"/>
          <w:sz w:val="24"/>
          <w:szCs w:val="24"/>
        </w:rPr>
        <w:t>完成人（含排序）：</w:t>
      </w:r>
      <w:r>
        <w:rPr>
          <w:rFonts w:hint="eastAsia" w:ascii="宋体" w:hAnsi="宋体"/>
          <w:color w:val="000000"/>
          <w:kern w:val="0"/>
          <w:sz w:val="24"/>
          <w:szCs w:val="24"/>
        </w:rPr>
        <w:t>杜杰，李玉琳，张聪聪，李平，刘燕，吴依娜，智莹，王春筱</w:t>
      </w:r>
    </w:p>
    <w:p>
      <w:pPr>
        <w:adjustRightInd w:val="0"/>
        <w:snapToGrid w:val="0"/>
        <w:spacing w:line="500" w:lineRule="exact"/>
        <w:rPr>
          <w:rFonts w:ascii="仿宋" w:hAnsi="仿宋" w:eastAsia="仿宋"/>
          <w:color w:val="000000"/>
          <w:kern w:val="0"/>
          <w:sz w:val="28"/>
          <w:szCs w:val="28"/>
        </w:rPr>
      </w:pPr>
    </w:p>
    <w:p>
      <w:pPr>
        <w:adjustRightInd w:val="0"/>
        <w:snapToGrid w:val="0"/>
        <w:spacing w:line="500" w:lineRule="exact"/>
        <w:rPr>
          <w:rFonts w:ascii="宋体" w:hAnsi="宋体"/>
          <w:bCs/>
          <w:color w:val="000000"/>
          <w:kern w:val="0"/>
          <w:sz w:val="24"/>
          <w:szCs w:val="24"/>
        </w:rPr>
      </w:pPr>
      <w:r>
        <w:rPr>
          <w:rFonts w:ascii="宋体" w:hAnsi="宋体"/>
          <w:bCs/>
          <w:color w:val="000000"/>
          <w:kern w:val="0"/>
          <w:sz w:val="24"/>
          <w:szCs w:val="24"/>
        </w:rPr>
        <w:t>项目简介：</w:t>
      </w:r>
    </w:p>
    <w:p>
      <w:pPr>
        <w:spacing w:line="276" w:lineRule="auto"/>
        <w:ind w:firstLine="420"/>
        <w:rPr>
          <w:sz w:val="22"/>
          <w:szCs w:val="24"/>
        </w:rPr>
      </w:pPr>
      <w:r>
        <w:rPr>
          <w:sz w:val="22"/>
          <w:szCs w:val="24"/>
        </w:rPr>
        <w:t>心血管疾病是引起我国居民死亡首要原因。心力衰竭（心衰）是多种心血管疾病的</w:t>
      </w:r>
      <w:r>
        <w:rPr>
          <w:rFonts w:hint="eastAsia"/>
          <w:sz w:val="22"/>
          <w:szCs w:val="24"/>
        </w:rPr>
        <w:t>共同</w:t>
      </w:r>
      <w:r>
        <w:rPr>
          <w:sz w:val="22"/>
          <w:szCs w:val="24"/>
        </w:rPr>
        <w:t>终末阶段，5年病死率高达50%以上</w:t>
      </w:r>
      <w:r>
        <w:rPr>
          <w:rFonts w:hint="eastAsia"/>
          <w:sz w:val="22"/>
          <w:szCs w:val="24"/>
        </w:rPr>
        <w:t>，是</w:t>
      </w:r>
      <w:r>
        <w:rPr>
          <w:sz w:val="22"/>
          <w:szCs w:val="24"/>
        </w:rPr>
        <w:t>我国重大的公共卫生问题</w:t>
      </w:r>
      <w:r>
        <w:rPr>
          <w:rFonts w:hint="eastAsia"/>
          <w:sz w:val="22"/>
          <w:szCs w:val="24"/>
        </w:rPr>
        <w:t>之一</w:t>
      </w:r>
      <w:r>
        <w:rPr>
          <w:sz w:val="22"/>
          <w:szCs w:val="24"/>
        </w:rPr>
        <w:t>。</w:t>
      </w:r>
      <w:r>
        <w:rPr>
          <w:rFonts w:hint="eastAsia"/>
          <w:sz w:val="22"/>
          <w:szCs w:val="24"/>
        </w:rPr>
        <w:t>目前心衰的治疗手段主要以强心、利尿、扩血管的对症治疗为主，并无特效药物，而且心衰死亡率和再入院率仍居高不下。这主要是由于心衰的发病机制</w:t>
      </w:r>
      <w:r>
        <w:rPr>
          <w:sz w:val="22"/>
          <w:szCs w:val="24"/>
        </w:rPr>
        <w:t>不明确、</w:t>
      </w:r>
      <w:r>
        <w:rPr>
          <w:rFonts w:hint="eastAsia"/>
          <w:sz w:val="22"/>
          <w:szCs w:val="24"/>
        </w:rPr>
        <w:t>危险人群不能及早发现、</w:t>
      </w:r>
      <w:r>
        <w:rPr>
          <w:sz w:val="22"/>
          <w:szCs w:val="24"/>
        </w:rPr>
        <w:t>缺乏有效干预靶点</w:t>
      </w:r>
      <w:r>
        <w:rPr>
          <w:rFonts w:hint="eastAsia"/>
          <w:sz w:val="22"/>
          <w:szCs w:val="24"/>
        </w:rPr>
        <w:t>和方法</w:t>
      </w:r>
      <w:r>
        <w:rPr>
          <w:sz w:val="22"/>
          <w:szCs w:val="24"/>
        </w:rPr>
        <w:t>等重大科学问题</w:t>
      </w:r>
      <w:r>
        <w:rPr>
          <w:rFonts w:hint="eastAsia"/>
          <w:sz w:val="22"/>
          <w:szCs w:val="24"/>
        </w:rPr>
        <w:t>的存在</w:t>
      </w:r>
      <w:r>
        <w:rPr>
          <w:sz w:val="22"/>
          <w:szCs w:val="24"/>
        </w:rPr>
        <w:t>。因此</w:t>
      </w:r>
      <w:r>
        <w:rPr>
          <w:rFonts w:hint="eastAsia"/>
          <w:sz w:val="22"/>
          <w:szCs w:val="24"/>
        </w:rPr>
        <w:t>本</w:t>
      </w:r>
      <w:r>
        <w:rPr>
          <w:sz w:val="22"/>
          <w:szCs w:val="24"/>
        </w:rPr>
        <w:t>项目</w:t>
      </w:r>
      <w:r>
        <w:rPr>
          <w:rFonts w:hint="eastAsia"/>
          <w:sz w:val="22"/>
          <w:szCs w:val="24"/>
        </w:rPr>
        <w:t>组</w:t>
      </w:r>
      <w:r>
        <w:rPr>
          <w:sz w:val="22"/>
          <w:szCs w:val="24"/>
        </w:rPr>
        <w:t>以</w:t>
      </w:r>
      <w:r>
        <w:rPr>
          <w:rFonts w:hint="eastAsia"/>
          <w:sz w:val="22"/>
          <w:szCs w:val="24"/>
        </w:rPr>
        <w:t>“</w:t>
      </w:r>
      <w:r>
        <w:rPr>
          <w:sz w:val="22"/>
          <w:szCs w:val="24"/>
        </w:rPr>
        <w:t>高血压和</w:t>
      </w:r>
      <w:r>
        <w:rPr>
          <w:rFonts w:hint="eastAsia"/>
          <w:sz w:val="22"/>
          <w:szCs w:val="24"/>
        </w:rPr>
        <w:t>心肌梗死（心梗）”</w:t>
      </w:r>
      <w:r>
        <w:rPr>
          <w:sz w:val="22"/>
          <w:szCs w:val="24"/>
        </w:rPr>
        <w:t>两个</w:t>
      </w:r>
      <w:r>
        <w:rPr>
          <w:rFonts w:hint="eastAsia"/>
          <w:sz w:val="22"/>
          <w:szCs w:val="24"/>
        </w:rPr>
        <w:t>发病率最高的致心衰疾病</w:t>
      </w:r>
      <w:r>
        <w:rPr>
          <w:sz w:val="22"/>
          <w:szCs w:val="24"/>
        </w:rPr>
        <w:t>为</w:t>
      </w:r>
      <w:r>
        <w:rPr>
          <w:rFonts w:hint="eastAsia"/>
          <w:sz w:val="22"/>
          <w:szCs w:val="24"/>
        </w:rPr>
        <w:t>研究对象</w:t>
      </w:r>
      <w:r>
        <w:rPr>
          <w:sz w:val="22"/>
          <w:szCs w:val="24"/>
        </w:rPr>
        <w:t>，从</w:t>
      </w:r>
      <w:r>
        <w:rPr>
          <w:rFonts w:hint="eastAsia"/>
          <w:sz w:val="22"/>
          <w:szCs w:val="24"/>
        </w:rPr>
        <w:t>心衰的早期病变“心脏纤维化”</w:t>
      </w:r>
      <w:r>
        <w:rPr>
          <w:sz w:val="22"/>
          <w:szCs w:val="24"/>
        </w:rPr>
        <w:t>为切入点，深入系统</w:t>
      </w:r>
      <w:r>
        <w:rPr>
          <w:rFonts w:hint="eastAsia"/>
          <w:sz w:val="22"/>
          <w:szCs w:val="24"/>
        </w:rPr>
        <w:t>开展了心衰的分子病因和转化医学研究，</w:t>
      </w:r>
      <w:r>
        <w:rPr>
          <w:sz w:val="22"/>
          <w:szCs w:val="24"/>
        </w:rPr>
        <w:t>主要创新性成果如下：</w:t>
      </w:r>
    </w:p>
    <w:p>
      <w:pPr>
        <w:spacing w:line="276" w:lineRule="auto"/>
        <w:ind w:firstLine="420"/>
        <w:rPr>
          <w:b/>
          <w:bCs/>
          <w:sz w:val="22"/>
          <w:szCs w:val="24"/>
        </w:rPr>
      </w:pPr>
      <w:r>
        <w:rPr>
          <w:rFonts w:hint="eastAsia"/>
          <w:b/>
          <w:bCs/>
          <w:sz w:val="22"/>
          <w:szCs w:val="24"/>
        </w:rPr>
        <w:t>1</w:t>
      </w:r>
      <w:r>
        <w:rPr>
          <w:b/>
          <w:bCs/>
          <w:sz w:val="22"/>
          <w:szCs w:val="24"/>
        </w:rPr>
        <w:t xml:space="preserve">.  </w:t>
      </w:r>
      <w:r>
        <w:rPr>
          <w:rFonts w:hint="eastAsia"/>
          <w:b/>
          <w:bCs/>
          <w:sz w:val="22"/>
          <w:szCs w:val="24"/>
        </w:rPr>
        <w:t>明确了多种病因启动心脏炎症反应的分子机制：</w:t>
      </w:r>
      <w:r>
        <w:rPr>
          <w:rFonts w:hint="eastAsia"/>
          <w:sz w:val="22"/>
          <w:szCs w:val="24"/>
        </w:rPr>
        <w:t>项目组开展了多中心心力衰竭注册性研究，通过对不同病因的心衰患者和动物模型样本的多组学分析和机制探索，发现中性粒细胞来源的炎症因子S</w:t>
      </w:r>
      <w:r>
        <w:rPr>
          <w:sz w:val="22"/>
          <w:szCs w:val="24"/>
        </w:rPr>
        <w:t>100A8/A9</w:t>
      </w:r>
      <w:r>
        <w:rPr>
          <w:rFonts w:hint="eastAsia"/>
          <w:sz w:val="22"/>
          <w:szCs w:val="24"/>
        </w:rPr>
        <w:t>介导了损伤后炎症微环境的启动，从而加剧高血压和急性心梗后心衰的发生，而且S</w:t>
      </w:r>
      <w:r>
        <w:rPr>
          <w:sz w:val="22"/>
          <w:szCs w:val="24"/>
        </w:rPr>
        <w:t>100A8/A9</w:t>
      </w:r>
      <w:r>
        <w:rPr>
          <w:rFonts w:hint="eastAsia"/>
          <w:sz w:val="22"/>
          <w:szCs w:val="24"/>
        </w:rPr>
        <w:t>可作为急性心梗后心衰发生的早期预警标志物，早期干预可避免心衰的发生。这一靶标的发现对识别心衰高危人群、对心衰相关疾病的诊疗具有潜在指导意义。</w:t>
      </w:r>
    </w:p>
    <w:p>
      <w:pPr>
        <w:spacing w:line="276" w:lineRule="auto"/>
        <w:ind w:firstLine="420"/>
        <w:rPr>
          <w:sz w:val="22"/>
          <w:szCs w:val="24"/>
        </w:rPr>
      </w:pPr>
      <w:r>
        <w:rPr>
          <w:b/>
          <w:bCs/>
          <w:sz w:val="22"/>
          <w:szCs w:val="24"/>
        </w:rPr>
        <w:t xml:space="preserve">2. </w:t>
      </w:r>
      <w:r>
        <w:rPr>
          <w:rFonts w:hint="eastAsia"/>
          <w:b/>
          <w:bCs/>
          <w:sz w:val="22"/>
          <w:szCs w:val="24"/>
        </w:rPr>
        <w:t>形成</w:t>
      </w:r>
      <w:r>
        <w:rPr>
          <w:b/>
          <w:bCs/>
          <w:sz w:val="22"/>
          <w:szCs w:val="24"/>
        </w:rPr>
        <w:t>了</w:t>
      </w:r>
      <w:r>
        <w:rPr>
          <w:rFonts w:hint="eastAsia"/>
          <w:b/>
          <w:bCs/>
          <w:sz w:val="22"/>
          <w:szCs w:val="24"/>
        </w:rPr>
        <w:t>“</w:t>
      </w:r>
      <w:r>
        <w:rPr>
          <w:b/>
          <w:bCs/>
          <w:sz w:val="22"/>
          <w:szCs w:val="24"/>
        </w:rPr>
        <w:t>炎症微环境是调控心衰发生发展的</w:t>
      </w:r>
      <w:r>
        <w:rPr>
          <w:rFonts w:hint="eastAsia"/>
          <w:b/>
          <w:bCs/>
          <w:sz w:val="22"/>
          <w:szCs w:val="24"/>
        </w:rPr>
        <w:t>重要</w:t>
      </w:r>
      <w:r>
        <w:rPr>
          <w:b/>
          <w:bCs/>
          <w:sz w:val="22"/>
          <w:szCs w:val="24"/>
        </w:rPr>
        <w:t>机制</w:t>
      </w:r>
      <w:r>
        <w:rPr>
          <w:rFonts w:hint="eastAsia"/>
          <w:b/>
          <w:bCs/>
          <w:sz w:val="22"/>
          <w:szCs w:val="24"/>
        </w:rPr>
        <w:t>”的新理论</w:t>
      </w:r>
      <w:r>
        <w:rPr>
          <w:b/>
          <w:bCs/>
          <w:sz w:val="22"/>
          <w:szCs w:val="24"/>
        </w:rPr>
        <w:t>：</w:t>
      </w:r>
      <w:r>
        <w:rPr>
          <w:rFonts w:hint="eastAsia"/>
          <w:sz w:val="22"/>
          <w:szCs w:val="24"/>
        </w:rPr>
        <w:t>通过对</w:t>
      </w:r>
      <w:r>
        <w:rPr>
          <w:sz w:val="22"/>
          <w:szCs w:val="24"/>
        </w:rPr>
        <w:t>心衰</w:t>
      </w:r>
      <w:r>
        <w:rPr>
          <w:rFonts w:hint="eastAsia"/>
          <w:sz w:val="22"/>
          <w:szCs w:val="24"/>
        </w:rPr>
        <w:t>患者的心脏样本进行</w:t>
      </w:r>
      <w:r>
        <w:rPr>
          <w:sz w:val="22"/>
          <w:szCs w:val="24"/>
        </w:rPr>
        <w:t>多组学分析</w:t>
      </w:r>
      <w:r>
        <w:rPr>
          <w:rFonts w:hint="eastAsia"/>
          <w:sz w:val="22"/>
          <w:szCs w:val="24"/>
        </w:rPr>
        <w:t>发现候选靶标，并</w:t>
      </w:r>
      <w:r>
        <w:rPr>
          <w:sz w:val="22"/>
          <w:szCs w:val="24"/>
        </w:rPr>
        <w:t>在多种心衰动物模型中进行作用机制解析，</w:t>
      </w:r>
      <w:r>
        <w:rPr>
          <w:rFonts w:hint="eastAsia"/>
          <w:sz w:val="22"/>
          <w:szCs w:val="24"/>
        </w:rPr>
        <w:t>发现各亚型巨噬细胞和T淋巴细胞等以炎症因子（</w:t>
      </w:r>
      <w:r>
        <w:rPr>
          <w:sz w:val="22"/>
          <w:szCs w:val="24"/>
        </w:rPr>
        <w:t>IL-6</w:t>
      </w:r>
      <w:r>
        <w:rPr>
          <w:rFonts w:hint="eastAsia"/>
          <w:sz w:val="22"/>
          <w:szCs w:val="24"/>
        </w:rPr>
        <w:t>，I</w:t>
      </w:r>
      <w:r>
        <w:rPr>
          <w:sz w:val="22"/>
          <w:szCs w:val="24"/>
        </w:rPr>
        <w:t>L-17A</w:t>
      </w:r>
      <w:r>
        <w:rPr>
          <w:rFonts w:hint="eastAsia"/>
          <w:sz w:val="22"/>
          <w:szCs w:val="24"/>
        </w:rPr>
        <w:t>等）或外泌体miRNA为介质调控心脏原位细胞的凋亡、增殖和分化等功能促进纤维化和心衰的发生；同时心脏成纤维细胞内存在负反馈性抑制炎症的转录调控机制，从而发挥心脏保护性作用。基于以上研究成果，项目组</w:t>
      </w:r>
      <w:r>
        <w:rPr>
          <w:rFonts w:hint="eastAsia"/>
          <w:b/>
          <w:bCs/>
          <w:sz w:val="22"/>
          <w:szCs w:val="24"/>
        </w:rPr>
        <w:t>提出了</w:t>
      </w:r>
      <w:r>
        <w:rPr>
          <w:b/>
          <w:bCs/>
          <w:sz w:val="22"/>
          <w:szCs w:val="24"/>
        </w:rPr>
        <w:t>“炎症微环境是调控心衰发生发展的重要机制”这一新</w:t>
      </w:r>
      <w:r>
        <w:rPr>
          <w:rFonts w:hint="eastAsia"/>
          <w:b/>
          <w:bCs/>
          <w:sz w:val="22"/>
          <w:szCs w:val="24"/>
        </w:rPr>
        <w:t>理论</w:t>
      </w:r>
      <w:r>
        <w:rPr>
          <w:rFonts w:hint="eastAsia"/>
          <w:sz w:val="22"/>
          <w:szCs w:val="24"/>
        </w:rPr>
        <w:t>，为心力衰竭的治疗提供了新靶点。</w:t>
      </w:r>
    </w:p>
    <w:p>
      <w:pPr>
        <w:spacing w:line="276" w:lineRule="auto"/>
        <w:ind w:firstLine="420"/>
        <w:rPr>
          <w:sz w:val="22"/>
          <w:szCs w:val="24"/>
        </w:rPr>
      </w:pPr>
      <w:r>
        <w:rPr>
          <w:b/>
          <w:bCs/>
          <w:sz w:val="22"/>
          <w:szCs w:val="24"/>
        </w:rPr>
        <w:t>3.</w:t>
      </w:r>
      <w:r>
        <w:rPr>
          <w:rFonts w:hint="eastAsia"/>
          <w:b/>
          <w:bCs/>
          <w:sz w:val="22"/>
          <w:szCs w:val="24"/>
        </w:rPr>
        <w:t xml:space="preserve"> </w:t>
      </w:r>
      <w:r>
        <w:rPr>
          <w:b/>
          <w:bCs/>
          <w:sz w:val="22"/>
          <w:szCs w:val="24"/>
        </w:rPr>
        <w:t>解决了心血管系统药物递送靶向性差等</w:t>
      </w:r>
      <w:r>
        <w:rPr>
          <w:rFonts w:hint="eastAsia"/>
          <w:b/>
          <w:bCs/>
          <w:sz w:val="22"/>
          <w:szCs w:val="24"/>
        </w:rPr>
        <w:t>技术</w:t>
      </w:r>
      <w:r>
        <w:rPr>
          <w:b/>
          <w:bCs/>
          <w:sz w:val="22"/>
          <w:szCs w:val="24"/>
        </w:rPr>
        <w:t>瓶颈问题</w:t>
      </w:r>
      <w:r>
        <w:rPr>
          <w:rFonts w:hint="eastAsia"/>
          <w:b/>
          <w:bCs/>
          <w:sz w:val="22"/>
          <w:szCs w:val="24"/>
        </w:rPr>
        <w:t>：</w:t>
      </w:r>
      <w:r>
        <w:rPr>
          <w:rFonts w:hint="eastAsia"/>
          <w:sz w:val="22"/>
          <w:szCs w:val="24"/>
        </w:rPr>
        <w:t>为了构建适合心脏靶向给药的生物相容性好、载药性高、可降解等特点的药物载体，项目组开展跨学科合作构建了一些列新型纳米载体。使用这些递送载体进行miRNA/蛋白药物的心脏递送的探索结果显示，治疗心肌纤维化和心衰的效果均显著优于常规给药方式，从而为提高心衰的治疗效果提供了新手段。</w:t>
      </w:r>
    </w:p>
    <w:p>
      <w:pPr>
        <w:spacing w:line="276" w:lineRule="auto"/>
        <w:ind w:firstLine="420"/>
        <w:rPr>
          <w:sz w:val="28"/>
          <w:szCs w:val="28"/>
        </w:rPr>
      </w:pPr>
      <w:r>
        <w:rPr>
          <w:sz w:val="22"/>
          <w:szCs w:val="24"/>
        </w:rPr>
        <w:t>项目组基于以上研究成果共发表</w:t>
      </w:r>
      <w:r>
        <w:rPr>
          <w:rFonts w:hint="eastAsia"/>
          <w:sz w:val="22"/>
          <w:szCs w:val="24"/>
        </w:rPr>
        <w:t>相关</w:t>
      </w:r>
      <w:r>
        <w:rPr>
          <w:sz w:val="22"/>
          <w:szCs w:val="24"/>
        </w:rPr>
        <w:t>SCI论文70篇</w:t>
      </w:r>
      <w:r>
        <w:rPr>
          <w:rFonts w:hint="eastAsia"/>
          <w:sz w:val="22"/>
          <w:szCs w:val="24"/>
        </w:rPr>
        <w:t>，影响因子大于2</w:t>
      </w:r>
      <w:r>
        <w:rPr>
          <w:sz w:val="22"/>
          <w:szCs w:val="24"/>
        </w:rPr>
        <w:t>0</w:t>
      </w:r>
      <w:r>
        <w:rPr>
          <w:rFonts w:hint="eastAsia"/>
          <w:sz w:val="22"/>
          <w:szCs w:val="24"/>
        </w:rPr>
        <w:t>的</w:t>
      </w:r>
      <w:r>
        <w:rPr>
          <w:sz w:val="22"/>
          <w:szCs w:val="24"/>
        </w:rPr>
        <w:t>8</w:t>
      </w:r>
      <w:r>
        <w:rPr>
          <w:rFonts w:hint="eastAsia"/>
          <w:sz w:val="22"/>
          <w:szCs w:val="24"/>
        </w:rPr>
        <w:t>篇，获发明专利授权的10项。其中</w:t>
      </w:r>
      <w:r>
        <w:rPr>
          <w:sz w:val="22"/>
          <w:szCs w:val="24"/>
        </w:rPr>
        <w:t>5篇代表性论文累</w:t>
      </w:r>
      <w:r>
        <w:rPr>
          <w:rFonts w:hint="eastAsia"/>
          <w:sz w:val="22"/>
          <w:szCs w:val="24"/>
        </w:rPr>
        <w:t>计</w:t>
      </w:r>
      <w:r>
        <w:rPr>
          <w:sz w:val="22"/>
          <w:szCs w:val="24"/>
        </w:rPr>
        <w:t>影响因子为</w:t>
      </w:r>
      <w:r>
        <w:rPr>
          <w:rFonts w:hint="eastAsia"/>
          <w:sz w:val="22"/>
          <w:szCs w:val="24"/>
        </w:rPr>
        <w:t>7</w:t>
      </w:r>
      <w:r>
        <w:rPr>
          <w:sz w:val="22"/>
          <w:szCs w:val="24"/>
        </w:rPr>
        <w:t>1.831</w:t>
      </w:r>
      <w:r>
        <w:rPr>
          <w:rFonts w:hint="eastAsia"/>
          <w:sz w:val="22"/>
          <w:szCs w:val="24"/>
        </w:rPr>
        <w:t>。</w:t>
      </w:r>
      <w:r>
        <w:rPr>
          <w:sz w:val="22"/>
          <w:szCs w:val="24"/>
        </w:rPr>
        <w:t>其中1篇入选ESI高被引，2篇被杂志配发同期专题述评。先后被</w:t>
      </w:r>
      <w:r>
        <w:rPr>
          <w:rFonts w:hint="eastAsia"/>
          <w:sz w:val="22"/>
          <w:szCs w:val="24"/>
        </w:rPr>
        <w:t>新英格兰杂志</w:t>
      </w:r>
      <w:r>
        <w:rPr>
          <w:sz w:val="22"/>
          <w:szCs w:val="24"/>
        </w:rPr>
        <w:t>、</w:t>
      </w:r>
      <w:r>
        <w:rPr>
          <w:rFonts w:hint="eastAsia"/>
          <w:sz w:val="22"/>
          <w:szCs w:val="24"/>
        </w:rPr>
        <w:t>生理学综述</w:t>
      </w:r>
      <w:r>
        <w:rPr>
          <w:sz w:val="22"/>
          <w:szCs w:val="24"/>
        </w:rPr>
        <w:t>等权威杂志</w:t>
      </w:r>
      <w:r>
        <w:rPr>
          <w:rFonts w:hint="eastAsia"/>
          <w:sz w:val="22"/>
          <w:szCs w:val="24"/>
        </w:rPr>
        <w:t>他引</w:t>
      </w:r>
      <w:r>
        <w:rPr>
          <w:sz w:val="22"/>
          <w:szCs w:val="24"/>
        </w:rPr>
        <w:t>343次</w:t>
      </w:r>
      <w:r>
        <w:rPr>
          <w:rFonts w:hint="eastAsia"/>
          <w:sz w:val="22"/>
          <w:szCs w:val="24"/>
        </w:rPr>
        <w:t>，</w:t>
      </w:r>
      <w:r>
        <w:rPr>
          <w:rFonts w:hint="eastAsia"/>
          <w:sz w:val="22"/>
        </w:rPr>
        <w:t>研究结果得到同行研究的证实</w:t>
      </w:r>
      <w:r>
        <w:rPr>
          <w:rFonts w:hint="eastAsia"/>
          <w:sz w:val="22"/>
          <w:szCs w:val="24"/>
        </w:rPr>
        <w:t>。项目第一完成人杜杰教授连续八年入选“中国医学领域高被引科学家”（2014年-2021年），获北京学者、北京市留学人员创新创业特别贡献奖等。</w:t>
      </w:r>
    </w:p>
    <w:p/>
    <w:p>
      <w:pPr>
        <w:adjustRightInd w:val="0"/>
        <w:snapToGrid w:val="0"/>
        <w:spacing w:line="500" w:lineRule="exact"/>
        <w:rPr>
          <w:sz w:val="22"/>
        </w:rPr>
      </w:pPr>
      <w:r>
        <w:rPr>
          <w:rFonts w:hint="eastAsia"/>
          <w:sz w:val="22"/>
        </w:rPr>
        <w:t>代表性论文列表：</w:t>
      </w:r>
      <w:r>
        <w:rPr>
          <w:sz w:val="22"/>
        </w:rPr>
        <w:t xml:space="preserve"> </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767"/>
        <w:gridCol w:w="1417"/>
        <w:gridCol w:w="127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tcPr>
          <w:p>
            <w:pPr>
              <w:adjustRightInd w:val="0"/>
              <w:snapToGrid w:val="0"/>
              <w:spacing w:line="276" w:lineRule="auto"/>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序号</w:t>
            </w:r>
          </w:p>
        </w:tc>
        <w:tc>
          <w:tcPr>
            <w:tcW w:w="2767" w:type="dxa"/>
          </w:tcPr>
          <w:p>
            <w:pPr>
              <w:adjustRightInd w:val="0"/>
              <w:snapToGrid w:val="0"/>
              <w:spacing w:line="276" w:lineRule="auto"/>
              <w:jc w:val="left"/>
              <w:rPr>
                <w:rFonts w:ascii="仿宋" w:hAnsi="仿宋" w:eastAsia="仿宋"/>
                <w:b/>
                <w:bCs/>
                <w:color w:val="000000"/>
                <w:kern w:val="0"/>
                <w:sz w:val="18"/>
                <w:szCs w:val="18"/>
              </w:rPr>
            </w:pPr>
            <w:r>
              <w:rPr>
                <w:rFonts w:hint="eastAsia" w:ascii="仿宋" w:hAnsi="仿宋" w:eastAsia="仿宋"/>
                <w:b/>
                <w:bCs/>
                <w:color w:val="000000"/>
                <w:kern w:val="0"/>
                <w:sz w:val="18"/>
                <w:szCs w:val="18"/>
              </w:rPr>
              <w:t>论文名称</w:t>
            </w:r>
          </w:p>
        </w:tc>
        <w:tc>
          <w:tcPr>
            <w:tcW w:w="1417" w:type="dxa"/>
          </w:tcPr>
          <w:p>
            <w:pPr>
              <w:adjustRightInd w:val="0"/>
              <w:snapToGrid w:val="0"/>
              <w:spacing w:line="276" w:lineRule="auto"/>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刊名</w:t>
            </w:r>
          </w:p>
        </w:tc>
        <w:tc>
          <w:tcPr>
            <w:tcW w:w="1276" w:type="dxa"/>
          </w:tcPr>
          <w:p>
            <w:pPr>
              <w:adjustRightInd w:val="0"/>
              <w:snapToGrid w:val="0"/>
              <w:spacing w:line="276" w:lineRule="auto"/>
              <w:jc w:val="left"/>
              <w:rPr>
                <w:rFonts w:ascii="仿宋" w:hAnsi="仿宋" w:eastAsia="仿宋"/>
                <w:b/>
                <w:bCs/>
                <w:color w:val="000000"/>
                <w:kern w:val="0"/>
                <w:sz w:val="18"/>
                <w:szCs w:val="18"/>
              </w:rPr>
            </w:pPr>
            <w:r>
              <w:rPr>
                <w:rFonts w:hint="eastAsia" w:ascii="仿宋" w:hAnsi="仿宋" w:eastAsia="仿宋"/>
                <w:b/>
                <w:bCs/>
                <w:color w:val="000000"/>
                <w:kern w:val="0"/>
                <w:sz w:val="18"/>
                <w:szCs w:val="18"/>
              </w:rPr>
              <w:t>年卷页码</w:t>
            </w:r>
          </w:p>
        </w:tc>
        <w:tc>
          <w:tcPr>
            <w:tcW w:w="2410" w:type="dxa"/>
          </w:tcPr>
          <w:p>
            <w:pPr>
              <w:adjustRightInd w:val="0"/>
              <w:snapToGrid w:val="0"/>
              <w:spacing w:line="276" w:lineRule="auto"/>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489" w:type="dxa"/>
            <w:vAlign w:val="center"/>
          </w:tcPr>
          <w:p>
            <w:pPr>
              <w:adjustRightInd w:val="0"/>
              <w:snapToGrid w:val="0"/>
              <w:spacing w:line="276" w:lineRule="auto"/>
              <w:rPr>
                <w:color w:val="000000"/>
                <w:kern w:val="0"/>
                <w:sz w:val="18"/>
                <w:szCs w:val="18"/>
              </w:rPr>
            </w:pPr>
            <w:r>
              <w:rPr>
                <w:sz w:val="18"/>
                <w:szCs w:val="18"/>
              </w:rPr>
              <w:t>1</w:t>
            </w:r>
          </w:p>
        </w:tc>
        <w:tc>
          <w:tcPr>
            <w:tcW w:w="2767" w:type="dxa"/>
            <w:vAlign w:val="center"/>
          </w:tcPr>
          <w:p>
            <w:pPr>
              <w:adjustRightInd w:val="0"/>
              <w:snapToGrid w:val="0"/>
              <w:spacing w:line="276" w:lineRule="auto"/>
              <w:jc w:val="left"/>
              <w:rPr>
                <w:color w:val="000000"/>
                <w:kern w:val="0"/>
                <w:sz w:val="18"/>
                <w:szCs w:val="18"/>
              </w:rPr>
            </w:pPr>
            <w:r>
              <w:rPr>
                <w:sz w:val="18"/>
                <w:szCs w:val="18"/>
              </w:rPr>
              <w:t>S100a8/a9 released by CD11b+Gr1+ neutrophils activates cardiac fibroblasts to initiate angiotensin II Induced cardiac inflammation and injury</w:t>
            </w:r>
          </w:p>
        </w:tc>
        <w:tc>
          <w:tcPr>
            <w:tcW w:w="1417" w:type="dxa"/>
            <w:vAlign w:val="center"/>
          </w:tcPr>
          <w:p>
            <w:pPr>
              <w:adjustRightInd w:val="0"/>
              <w:snapToGrid w:val="0"/>
              <w:spacing w:line="276" w:lineRule="auto"/>
              <w:jc w:val="left"/>
              <w:rPr>
                <w:color w:val="000000"/>
                <w:kern w:val="0"/>
                <w:sz w:val="18"/>
                <w:szCs w:val="18"/>
              </w:rPr>
            </w:pPr>
            <w:r>
              <w:rPr>
                <w:rFonts w:hint="eastAsia"/>
                <w:sz w:val="18"/>
                <w:szCs w:val="18"/>
              </w:rPr>
              <w:t>Hypertension</w:t>
            </w:r>
          </w:p>
        </w:tc>
        <w:tc>
          <w:tcPr>
            <w:tcW w:w="1276" w:type="dxa"/>
            <w:vAlign w:val="center"/>
          </w:tcPr>
          <w:p>
            <w:pPr>
              <w:widowControl/>
              <w:spacing w:line="276" w:lineRule="auto"/>
              <w:jc w:val="left"/>
              <w:rPr>
                <w:rFonts w:eastAsia="等线"/>
                <w:kern w:val="0"/>
                <w:sz w:val="18"/>
                <w:szCs w:val="18"/>
              </w:rPr>
            </w:pPr>
            <w:r>
              <w:rPr>
                <w:rFonts w:eastAsia="等线"/>
                <w:sz w:val="18"/>
                <w:szCs w:val="18"/>
              </w:rPr>
              <w:t>2014;63(6):1241-1250</w:t>
            </w:r>
          </w:p>
          <w:p>
            <w:pPr>
              <w:adjustRightInd w:val="0"/>
              <w:snapToGrid w:val="0"/>
              <w:spacing w:line="276" w:lineRule="auto"/>
              <w:jc w:val="left"/>
              <w:rPr>
                <w:color w:val="000000"/>
                <w:kern w:val="0"/>
                <w:sz w:val="18"/>
                <w:szCs w:val="18"/>
              </w:rPr>
            </w:pPr>
          </w:p>
        </w:tc>
        <w:tc>
          <w:tcPr>
            <w:tcW w:w="2410" w:type="dxa"/>
            <w:vAlign w:val="center"/>
          </w:tcPr>
          <w:p>
            <w:pPr>
              <w:widowControl/>
              <w:jc w:val="left"/>
              <w:rPr>
                <w:sz w:val="18"/>
                <w:szCs w:val="18"/>
              </w:rPr>
            </w:pPr>
            <w:r>
              <w:rPr>
                <w:rFonts w:hint="eastAsia"/>
                <w:sz w:val="18"/>
                <w:szCs w:val="18"/>
              </w:rPr>
              <w:t>吴依娜，李玉琳，张聪聪，阿希，王月利，崔巍，</w:t>
            </w:r>
          </w:p>
          <w:p>
            <w:pPr>
              <w:widowControl/>
              <w:jc w:val="left"/>
              <w:rPr>
                <w:sz w:val="18"/>
                <w:szCs w:val="18"/>
              </w:rPr>
            </w:pPr>
            <w:r>
              <w:rPr>
                <w:rFonts w:hint="eastAsia"/>
                <w:sz w:val="18"/>
                <w:szCs w:val="18"/>
              </w:rPr>
              <w:t>李汇华，杜杰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89" w:type="dxa"/>
            <w:vAlign w:val="center"/>
          </w:tcPr>
          <w:p>
            <w:pPr>
              <w:adjustRightInd w:val="0"/>
              <w:snapToGrid w:val="0"/>
              <w:spacing w:line="276" w:lineRule="auto"/>
              <w:rPr>
                <w:color w:val="000000"/>
                <w:kern w:val="0"/>
                <w:sz w:val="18"/>
                <w:szCs w:val="18"/>
              </w:rPr>
            </w:pPr>
            <w:r>
              <w:rPr>
                <w:sz w:val="18"/>
                <w:szCs w:val="18"/>
              </w:rPr>
              <w:t>2</w:t>
            </w:r>
          </w:p>
        </w:tc>
        <w:tc>
          <w:tcPr>
            <w:tcW w:w="2767" w:type="dxa"/>
            <w:vAlign w:val="center"/>
          </w:tcPr>
          <w:p>
            <w:pPr>
              <w:adjustRightInd w:val="0"/>
              <w:snapToGrid w:val="0"/>
              <w:spacing w:line="276" w:lineRule="auto"/>
              <w:jc w:val="left"/>
              <w:rPr>
                <w:color w:val="000000"/>
                <w:kern w:val="0"/>
                <w:sz w:val="18"/>
                <w:szCs w:val="18"/>
              </w:rPr>
            </w:pPr>
            <w:r>
              <w:rPr>
                <w:sz w:val="18"/>
                <w:szCs w:val="18"/>
              </w:rPr>
              <w:t>S100a8/a9 Signaling Causes Mitochondrial Dysfunction and Cardiomyocyte Death in Response to Ischemic/ Reperfusion Injury.</w:t>
            </w:r>
          </w:p>
        </w:tc>
        <w:tc>
          <w:tcPr>
            <w:tcW w:w="1417" w:type="dxa"/>
            <w:vAlign w:val="center"/>
          </w:tcPr>
          <w:p>
            <w:pPr>
              <w:adjustRightInd w:val="0"/>
              <w:snapToGrid w:val="0"/>
              <w:spacing w:line="276" w:lineRule="auto"/>
              <w:jc w:val="left"/>
              <w:rPr>
                <w:color w:val="000000"/>
                <w:kern w:val="0"/>
                <w:sz w:val="18"/>
                <w:szCs w:val="18"/>
              </w:rPr>
            </w:pPr>
            <w:r>
              <w:rPr>
                <w:rFonts w:hint="eastAsia"/>
                <w:sz w:val="18"/>
                <w:szCs w:val="18"/>
              </w:rPr>
              <w:t>Circulation</w:t>
            </w:r>
          </w:p>
        </w:tc>
        <w:tc>
          <w:tcPr>
            <w:tcW w:w="1276" w:type="dxa"/>
            <w:vAlign w:val="center"/>
          </w:tcPr>
          <w:p>
            <w:pPr>
              <w:adjustRightInd w:val="0"/>
              <w:snapToGrid w:val="0"/>
              <w:spacing w:line="276" w:lineRule="auto"/>
              <w:jc w:val="left"/>
              <w:rPr>
                <w:color w:val="000000"/>
                <w:kern w:val="0"/>
                <w:sz w:val="18"/>
                <w:szCs w:val="18"/>
              </w:rPr>
            </w:pPr>
            <w:r>
              <w:rPr>
                <w:sz w:val="18"/>
                <w:szCs w:val="18"/>
              </w:rPr>
              <w:t>2019;140(9):751-764.</w:t>
            </w:r>
          </w:p>
        </w:tc>
        <w:tc>
          <w:tcPr>
            <w:tcW w:w="2410" w:type="dxa"/>
            <w:vAlign w:val="center"/>
          </w:tcPr>
          <w:p>
            <w:pPr>
              <w:adjustRightInd w:val="0"/>
              <w:snapToGrid w:val="0"/>
              <w:spacing w:line="276" w:lineRule="auto"/>
              <w:jc w:val="left"/>
              <w:rPr>
                <w:color w:val="000000"/>
                <w:kern w:val="0"/>
                <w:sz w:val="18"/>
                <w:szCs w:val="18"/>
              </w:rPr>
            </w:pPr>
            <w:r>
              <w:rPr>
                <w:rFonts w:hint="eastAsia"/>
                <w:sz w:val="18"/>
                <w:szCs w:val="18"/>
              </w:rPr>
              <w:t>李玉琳，陈博雅，杨新颖，张聪聪，焦瑶，李平，刘燕，李振亚，乔博康，Wayne Bond Lau，马新亮，杜杰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489" w:type="dxa"/>
            <w:vAlign w:val="center"/>
          </w:tcPr>
          <w:p>
            <w:pPr>
              <w:adjustRightInd w:val="0"/>
              <w:snapToGrid w:val="0"/>
              <w:spacing w:line="276" w:lineRule="auto"/>
              <w:rPr>
                <w:color w:val="000000"/>
                <w:kern w:val="0"/>
                <w:sz w:val="18"/>
                <w:szCs w:val="18"/>
              </w:rPr>
            </w:pPr>
            <w:r>
              <w:rPr>
                <w:sz w:val="18"/>
                <w:szCs w:val="18"/>
              </w:rPr>
              <w:t>3</w:t>
            </w:r>
          </w:p>
        </w:tc>
        <w:tc>
          <w:tcPr>
            <w:tcW w:w="2767" w:type="dxa"/>
            <w:vAlign w:val="center"/>
          </w:tcPr>
          <w:p>
            <w:pPr>
              <w:adjustRightInd w:val="0"/>
              <w:snapToGrid w:val="0"/>
              <w:spacing w:line="276" w:lineRule="auto"/>
              <w:jc w:val="left"/>
              <w:rPr>
                <w:color w:val="000000"/>
                <w:kern w:val="0"/>
                <w:sz w:val="18"/>
                <w:szCs w:val="18"/>
              </w:rPr>
            </w:pPr>
            <w:r>
              <w:rPr>
                <w:sz w:val="18"/>
                <w:szCs w:val="18"/>
              </w:rPr>
              <w:t>Macrophage-Derived mir-155-Containing Exosomes Suppress Fibroblast Proliferation and Promote Fibroblast Inflammation during Cardiac Injury</w:t>
            </w:r>
          </w:p>
        </w:tc>
        <w:tc>
          <w:tcPr>
            <w:tcW w:w="1417" w:type="dxa"/>
            <w:vAlign w:val="center"/>
          </w:tcPr>
          <w:p>
            <w:pPr>
              <w:adjustRightInd w:val="0"/>
              <w:snapToGrid w:val="0"/>
              <w:spacing w:line="276" w:lineRule="auto"/>
              <w:jc w:val="left"/>
              <w:rPr>
                <w:color w:val="000000"/>
                <w:kern w:val="0"/>
                <w:sz w:val="18"/>
                <w:szCs w:val="18"/>
              </w:rPr>
            </w:pPr>
            <w:r>
              <w:rPr>
                <w:rFonts w:hint="eastAsia"/>
                <w:sz w:val="18"/>
                <w:szCs w:val="18"/>
              </w:rPr>
              <w:t>Molecular</w:t>
            </w:r>
            <w:r>
              <w:rPr>
                <w:sz w:val="18"/>
                <w:szCs w:val="18"/>
              </w:rPr>
              <w:t xml:space="preserve"> T</w:t>
            </w:r>
            <w:r>
              <w:rPr>
                <w:rFonts w:hint="eastAsia"/>
                <w:sz w:val="18"/>
                <w:szCs w:val="18"/>
              </w:rPr>
              <w:t>herapy</w:t>
            </w:r>
          </w:p>
        </w:tc>
        <w:tc>
          <w:tcPr>
            <w:tcW w:w="1276" w:type="dxa"/>
            <w:vAlign w:val="center"/>
          </w:tcPr>
          <w:p>
            <w:pPr>
              <w:adjustRightInd w:val="0"/>
              <w:snapToGrid w:val="0"/>
              <w:spacing w:line="276" w:lineRule="auto"/>
              <w:jc w:val="left"/>
              <w:rPr>
                <w:color w:val="000000"/>
                <w:kern w:val="0"/>
                <w:sz w:val="18"/>
                <w:szCs w:val="18"/>
              </w:rPr>
            </w:pPr>
            <w:r>
              <w:rPr>
                <w:sz w:val="18"/>
                <w:szCs w:val="18"/>
              </w:rPr>
              <w:t>2017;25(1):192-204</w:t>
            </w:r>
          </w:p>
        </w:tc>
        <w:tc>
          <w:tcPr>
            <w:tcW w:w="2410" w:type="dxa"/>
            <w:vAlign w:val="center"/>
          </w:tcPr>
          <w:p>
            <w:pPr>
              <w:adjustRightInd w:val="0"/>
              <w:snapToGrid w:val="0"/>
              <w:spacing w:line="276" w:lineRule="auto"/>
              <w:jc w:val="left"/>
              <w:rPr>
                <w:color w:val="000000"/>
                <w:kern w:val="0"/>
                <w:sz w:val="18"/>
                <w:szCs w:val="18"/>
              </w:rPr>
            </w:pPr>
            <w:r>
              <w:rPr>
                <w:rFonts w:hint="eastAsia"/>
                <w:sz w:val="18"/>
                <w:szCs w:val="18"/>
              </w:rPr>
              <w:t>王春筱，张聪聪，刘璐鑫，阿希，陈博雅，李玉琳，杜杰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adjustRightInd w:val="0"/>
              <w:snapToGrid w:val="0"/>
              <w:spacing w:line="276" w:lineRule="auto"/>
              <w:rPr>
                <w:color w:val="000000"/>
                <w:kern w:val="0"/>
                <w:sz w:val="18"/>
                <w:szCs w:val="18"/>
              </w:rPr>
            </w:pPr>
            <w:r>
              <w:rPr>
                <w:sz w:val="18"/>
                <w:szCs w:val="18"/>
              </w:rPr>
              <w:t>4</w:t>
            </w:r>
          </w:p>
        </w:tc>
        <w:tc>
          <w:tcPr>
            <w:tcW w:w="2767" w:type="dxa"/>
            <w:vAlign w:val="center"/>
          </w:tcPr>
          <w:p>
            <w:pPr>
              <w:adjustRightInd w:val="0"/>
              <w:snapToGrid w:val="0"/>
              <w:spacing w:line="276" w:lineRule="auto"/>
              <w:jc w:val="left"/>
              <w:rPr>
                <w:color w:val="000000"/>
                <w:kern w:val="0"/>
                <w:sz w:val="18"/>
                <w:szCs w:val="18"/>
              </w:rPr>
            </w:pPr>
            <w:r>
              <w:rPr>
                <w:sz w:val="18"/>
                <w:szCs w:val="18"/>
              </w:rPr>
              <w:t>Cardiac Fibroblast-Specific Activating Transcription Factor 3 Protects Against Heart Failure by Suppressing MAP2K3-p38 Signaling</w:t>
            </w:r>
          </w:p>
        </w:tc>
        <w:tc>
          <w:tcPr>
            <w:tcW w:w="1417" w:type="dxa"/>
            <w:vAlign w:val="center"/>
          </w:tcPr>
          <w:p>
            <w:pPr>
              <w:adjustRightInd w:val="0"/>
              <w:snapToGrid w:val="0"/>
              <w:spacing w:line="276" w:lineRule="auto"/>
              <w:jc w:val="left"/>
              <w:rPr>
                <w:color w:val="000000"/>
                <w:kern w:val="0"/>
                <w:sz w:val="18"/>
                <w:szCs w:val="18"/>
              </w:rPr>
            </w:pPr>
            <w:r>
              <w:rPr>
                <w:color w:val="000000"/>
                <w:kern w:val="0"/>
                <w:sz w:val="18"/>
                <w:szCs w:val="18"/>
              </w:rPr>
              <w:t>Circulation</w:t>
            </w:r>
          </w:p>
          <w:p>
            <w:pPr>
              <w:adjustRightInd w:val="0"/>
              <w:snapToGrid w:val="0"/>
              <w:spacing w:line="276" w:lineRule="auto"/>
              <w:jc w:val="left"/>
              <w:rPr>
                <w:color w:val="000000"/>
                <w:kern w:val="0"/>
                <w:sz w:val="18"/>
                <w:szCs w:val="18"/>
              </w:rPr>
            </w:pPr>
          </w:p>
        </w:tc>
        <w:tc>
          <w:tcPr>
            <w:tcW w:w="1276" w:type="dxa"/>
            <w:vAlign w:val="center"/>
          </w:tcPr>
          <w:p>
            <w:pPr>
              <w:adjustRightInd w:val="0"/>
              <w:snapToGrid w:val="0"/>
              <w:spacing w:line="276" w:lineRule="auto"/>
              <w:jc w:val="left"/>
              <w:rPr>
                <w:color w:val="000000"/>
                <w:kern w:val="0"/>
                <w:sz w:val="18"/>
                <w:szCs w:val="18"/>
              </w:rPr>
            </w:pPr>
            <w:r>
              <w:rPr>
                <w:color w:val="000000"/>
                <w:kern w:val="0"/>
                <w:sz w:val="18"/>
                <w:szCs w:val="18"/>
              </w:rPr>
              <w:t>2017;135(21):2041-2057</w:t>
            </w:r>
          </w:p>
          <w:p>
            <w:pPr>
              <w:adjustRightInd w:val="0"/>
              <w:snapToGrid w:val="0"/>
              <w:spacing w:line="276" w:lineRule="auto"/>
              <w:jc w:val="left"/>
              <w:rPr>
                <w:color w:val="000000"/>
                <w:kern w:val="0"/>
                <w:sz w:val="18"/>
                <w:szCs w:val="18"/>
              </w:rPr>
            </w:pPr>
          </w:p>
        </w:tc>
        <w:tc>
          <w:tcPr>
            <w:tcW w:w="2410" w:type="dxa"/>
            <w:vAlign w:val="center"/>
          </w:tcPr>
          <w:p>
            <w:pPr>
              <w:adjustRightInd w:val="0"/>
              <w:snapToGrid w:val="0"/>
              <w:spacing w:line="276" w:lineRule="auto"/>
              <w:jc w:val="left"/>
              <w:rPr>
                <w:color w:val="000000"/>
                <w:kern w:val="0"/>
                <w:sz w:val="18"/>
                <w:szCs w:val="18"/>
              </w:rPr>
            </w:pPr>
            <w:r>
              <w:rPr>
                <w:rFonts w:hint="eastAsia"/>
                <w:color w:val="000000"/>
                <w:kern w:val="0"/>
                <w:sz w:val="18"/>
                <w:szCs w:val="18"/>
              </w:rPr>
              <w:t>李玉琳，李振亚，张聪聪，李平，吴依娜，王春筱，Wayne Bond Lau，马新亮，杜杰</w:t>
            </w:r>
          </w:p>
          <w:p>
            <w:pPr>
              <w:adjustRightInd w:val="0"/>
              <w:snapToGrid w:val="0"/>
              <w:spacing w:line="276" w:lineRule="auto"/>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89" w:type="dxa"/>
            <w:vAlign w:val="center"/>
          </w:tcPr>
          <w:p>
            <w:pPr>
              <w:adjustRightInd w:val="0"/>
              <w:snapToGrid w:val="0"/>
              <w:spacing w:line="276" w:lineRule="auto"/>
              <w:rPr>
                <w:color w:val="000000"/>
                <w:kern w:val="0"/>
                <w:sz w:val="18"/>
                <w:szCs w:val="18"/>
              </w:rPr>
            </w:pPr>
            <w:r>
              <w:rPr>
                <w:sz w:val="18"/>
                <w:szCs w:val="18"/>
              </w:rPr>
              <w:t>5</w:t>
            </w:r>
          </w:p>
        </w:tc>
        <w:tc>
          <w:tcPr>
            <w:tcW w:w="2767" w:type="dxa"/>
            <w:vAlign w:val="center"/>
          </w:tcPr>
          <w:p>
            <w:pPr>
              <w:adjustRightInd w:val="0"/>
              <w:snapToGrid w:val="0"/>
              <w:spacing w:line="276" w:lineRule="auto"/>
              <w:jc w:val="left"/>
              <w:rPr>
                <w:color w:val="000000"/>
                <w:kern w:val="0"/>
                <w:sz w:val="18"/>
                <w:szCs w:val="18"/>
              </w:rPr>
            </w:pPr>
            <w:r>
              <w:rPr>
                <w:sz w:val="18"/>
                <w:szCs w:val="18"/>
              </w:rPr>
              <w:t>Effective Delivery of Hypertrophic miRNA Inhibitor by Cholesterol-Containing Nanocarriers for Preventing Pressure Overload Induced Cardiac Hypertrophy</w:t>
            </w:r>
          </w:p>
        </w:tc>
        <w:tc>
          <w:tcPr>
            <w:tcW w:w="1417" w:type="dxa"/>
            <w:vAlign w:val="center"/>
          </w:tcPr>
          <w:p>
            <w:pPr>
              <w:adjustRightInd w:val="0"/>
              <w:snapToGrid w:val="0"/>
              <w:spacing w:line="276" w:lineRule="auto"/>
              <w:jc w:val="left"/>
              <w:rPr>
                <w:color w:val="000000"/>
                <w:kern w:val="0"/>
                <w:sz w:val="18"/>
                <w:szCs w:val="18"/>
              </w:rPr>
            </w:pPr>
            <w:r>
              <w:rPr>
                <w:color w:val="000000"/>
                <w:kern w:val="0"/>
                <w:sz w:val="18"/>
                <w:szCs w:val="18"/>
              </w:rPr>
              <w:t>Advanced Science</w:t>
            </w:r>
          </w:p>
        </w:tc>
        <w:tc>
          <w:tcPr>
            <w:tcW w:w="1276" w:type="dxa"/>
            <w:vAlign w:val="center"/>
          </w:tcPr>
          <w:p>
            <w:pPr>
              <w:adjustRightInd w:val="0"/>
              <w:snapToGrid w:val="0"/>
              <w:spacing w:line="276" w:lineRule="auto"/>
              <w:jc w:val="left"/>
              <w:rPr>
                <w:color w:val="000000"/>
                <w:kern w:val="0"/>
                <w:sz w:val="18"/>
                <w:szCs w:val="18"/>
              </w:rPr>
            </w:pPr>
            <w:r>
              <w:rPr>
                <w:color w:val="000000"/>
                <w:kern w:val="0"/>
                <w:sz w:val="18"/>
                <w:szCs w:val="18"/>
              </w:rPr>
              <w:t>2019;6(11):1900023</w:t>
            </w:r>
          </w:p>
        </w:tc>
        <w:tc>
          <w:tcPr>
            <w:tcW w:w="2410" w:type="dxa"/>
            <w:vAlign w:val="center"/>
          </w:tcPr>
          <w:p>
            <w:pPr>
              <w:adjustRightInd w:val="0"/>
              <w:snapToGrid w:val="0"/>
              <w:spacing w:line="276" w:lineRule="auto"/>
              <w:jc w:val="left"/>
              <w:rPr>
                <w:color w:val="000000"/>
                <w:kern w:val="0"/>
                <w:sz w:val="18"/>
                <w:szCs w:val="18"/>
              </w:rPr>
            </w:pPr>
            <w:r>
              <w:rPr>
                <w:rFonts w:hint="eastAsia"/>
                <w:color w:val="000000"/>
                <w:kern w:val="0"/>
                <w:sz w:val="18"/>
                <w:szCs w:val="18"/>
              </w:rPr>
              <w:t>智莹，许晨，隋丹丹，杜杰，徐福建，李玉琳</w:t>
            </w:r>
          </w:p>
        </w:tc>
      </w:tr>
    </w:tbl>
    <w:p>
      <w:pPr>
        <w:adjustRightInd w:val="0"/>
        <w:snapToGrid w:val="0"/>
        <w:spacing w:line="500" w:lineRule="exact"/>
        <w:rPr>
          <w:rFonts w:ascii="仿宋" w:hAnsi="仿宋" w:eastAsia="仿宋"/>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zYWEwY2I0NzhiM2Y4Nzk5ZWI5MzY0YjI2NzRhNmIifQ=="/>
  </w:docVars>
  <w:rsids>
    <w:rsidRoot w:val="007E40F0"/>
    <w:rsid w:val="0000188A"/>
    <w:rsid w:val="000068BA"/>
    <w:rsid w:val="00041534"/>
    <w:rsid w:val="000465E5"/>
    <w:rsid w:val="0005221C"/>
    <w:rsid w:val="000854BE"/>
    <w:rsid w:val="000A2DBE"/>
    <w:rsid w:val="000B436B"/>
    <w:rsid w:val="00114E0E"/>
    <w:rsid w:val="00185186"/>
    <w:rsid w:val="001912E3"/>
    <w:rsid w:val="001C0445"/>
    <w:rsid w:val="00214A2E"/>
    <w:rsid w:val="00256F5E"/>
    <w:rsid w:val="002851BF"/>
    <w:rsid w:val="002B5048"/>
    <w:rsid w:val="002D241A"/>
    <w:rsid w:val="002D2FB2"/>
    <w:rsid w:val="002E513B"/>
    <w:rsid w:val="003219EA"/>
    <w:rsid w:val="00345B46"/>
    <w:rsid w:val="00381EAE"/>
    <w:rsid w:val="0047095F"/>
    <w:rsid w:val="0049572B"/>
    <w:rsid w:val="004C6F54"/>
    <w:rsid w:val="004F1DFA"/>
    <w:rsid w:val="00511A92"/>
    <w:rsid w:val="005B4DA0"/>
    <w:rsid w:val="005C249A"/>
    <w:rsid w:val="005D3011"/>
    <w:rsid w:val="005E0D22"/>
    <w:rsid w:val="00647E9D"/>
    <w:rsid w:val="006614D0"/>
    <w:rsid w:val="00664B5D"/>
    <w:rsid w:val="00682D0D"/>
    <w:rsid w:val="006D05A0"/>
    <w:rsid w:val="00767D19"/>
    <w:rsid w:val="0077386E"/>
    <w:rsid w:val="007777E6"/>
    <w:rsid w:val="007C3EE3"/>
    <w:rsid w:val="007E40F0"/>
    <w:rsid w:val="007E426C"/>
    <w:rsid w:val="00805D54"/>
    <w:rsid w:val="008229F7"/>
    <w:rsid w:val="00855161"/>
    <w:rsid w:val="00872385"/>
    <w:rsid w:val="008743FE"/>
    <w:rsid w:val="008855D6"/>
    <w:rsid w:val="00887C62"/>
    <w:rsid w:val="008B4B4F"/>
    <w:rsid w:val="00910F49"/>
    <w:rsid w:val="00917009"/>
    <w:rsid w:val="00950098"/>
    <w:rsid w:val="009561DA"/>
    <w:rsid w:val="009A4046"/>
    <w:rsid w:val="009E0B08"/>
    <w:rsid w:val="009E775E"/>
    <w:rsid w:val="00A01ABA"/>
    <w:rsid w:val="00A54520"/>
    <w:rsid w:val="00A71938"/>
    <w:rsid w:val="00AB12C8"/>
    <w:rsid w:val="00AC07E5"/>
    <w:rsid w:val="00AC352F"/>
    <w:rsid w:val="00AD3D94"/>
    <w:rsid w:val="00AE4424"/>
    <w:rsid w:val="00B2313E"/>
    <w:rsid w:val="00B2720F"/>
    <w:rsid w:val="00B3510D"/>
    <w:rsid w:val="00B52E27"/>
    <w:rsid w:val="00BF48C6"/>
    <w:rsid w:val="00C21730"/>
    <w:rsid w:val="00CC376D"/>
    <w:rsid w:val="00CE2C62"/>
    <w:rsid w:val="00CF0322"/>
    <w:rsid w:val="00CF0DAF"/>
    <w:rsid w:val="00D35BEB"/>
    <w:rsid w:val="00D76739"/>
    <w:rsid w:val="00D8377E"/>
    <w:rsid w:val="00D94FE4"/>
    <w:rsid w:val="00DA1825"/>
    <w:rsid w:val="00DC15B2"/>
    <w:rsid w:val="00DD07B0"/>
    <w:rsid w:val="00E27084"/>
    <w:rsid w:val="00EB18E1"/>
    <w:rsid w:val="00ED525B"/>
    <w:rsid w:val="00EE14DE"/>
    <w:rsid w:val="00F351D7"/>
    <w:rsid w:val="00F41732"/>
    <w:rsid w:val="00F80E44"/>
    <w:rsid w:val="2F5946A4"/>
    <w:rsid w:val="7805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标题1工作手册"/>
    <w:basedOn w:val="2"/>
    <w:link w:val="11"/>
    <w:qFormat/>
    <w:uiPriority w:val="0"/>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sz w:val="36"/>
      <w:szCs w:val="36"/>
    </w:rPr>
  </w:style>
  <w:style w:type="character" w:customStyle="1" w:styleId="11">
    <w:name w:val="标题1工作手册 字符"/>
    <w:basedOn w:val="7"/>
    <w:link w:val="10"/>
    <w:qFormat/>
    <w:uiPriority w:val="0"/>
    <w:rPr>
      <w:rFonts w:ascii="华文中宋" w:hAnsi="华文中宋" w:eastAsia="宋体" w:cs="Times New Roman"/>
      <w:b/>
      <w:bCs/>
      <w:kern w:val="44"/>
      <w:sz w:val="36"/>
      <w:szCs w:val="36"/>
    </w:rPr>
  </w:style>
  <w:style w:type="character" w:customStyle="1" w:styleId="12">
    <w:name w:val="标题 1 字符"/>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1550</Words>
  <Characters>2332</Characters>
  <Lines>17</Lines>
  <Paragraphs>4</Paragraphs>
  <TotalTime>97</TotalTime>
  <ScaleCrop>false</ScaleCrop>
  <LinksUpToDate>false</LinksUpToDate>
  <CharactersWithSpaces>2413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2022-04-11T03:19:00Z</dcterms:created>
  <dc:creator>gao shijuan</dc:creator>
  <cp:lastModifiedBy>赶火车gcgcgc</cp:lastModifiedBy>
  <dcterms:modified xsi:type="dcterms:W3CDTF">2022-05-05T06:46:35Z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D1178840D82440BB84CD45E6D83FC7EB</vt:lpwstr>
  </property>
</Properties>
</file>